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F53F9" w14:textId="77777777" w:rsidR="00F948AC" w:rsidRPr="00D16E2C" w:rsidRDefault="00F948AC" w:rsidP="00F948AC">
      <w:pPr>
        <w:pStyle w:val="Heading1"/>
        <w:jc w:val="center"/>
      </w:pPr>
      <w:r w:rsidRPr="00D16E2C">
        <w:t>Ensuring consistency of SEND Datasets with Study Reports using Machine Learning Algorithms</w:t>
      </w:r>
    </w:p>
    <w:p w14:paraId="32253294" w14:textId="77777777" w:rsidR="00F948AC" w:rsidRPr="00536A34" w:rsidRDefault="00F948AC" w:rsidP="00F948AC">
      <w:pPr>
        <w:pStyle w:val="Body"/>
        <w:jc w:val="both"/>
        <w:rPr>
          <w:sz w:val="26"/>
          <w:szCs w:val="26"/>
        </w:rPr>
      </w:pPr>
    </w:p>
    <w:p w14:paraId="5812174E" w14:textId="0FB694BA" w:rsidR="00F948AC" w:rsidRDefault="00A8040D" w:rsidP="006346DE">
      <w:pPr>
        <w:pStyle w:val="Body"/>
        <w:jc w:val="center"/>
        <w:rPr>
          <w:i/>
          <w:sz w:val="26"/>
          <w:szCs w:val="26"/>
        </w:rPr>
      </w:pPr>
      <w:r>
        <w:rPr>
          <w:i/>
          <w:sz w:val="26"/>
          <w:szCs w:val="26"/>
        </w:rPr>
        <w:t xml:space="preserve">Suresh Madhavan, </w:t>
      </w:r>
      <w:r w:rsidR="00F948AC" w:rsidRPr="00F84443">
        <w:rPr>
          <w:i/>
          <w:sz w:val="26"/>
          <w:szCs w:val="26"/>
        </w:rPr>
        <w:t>Raja Ramesh, Venkatesh Krishnan, Kurien Abraham, Mohit Mathew</w:t>
      </w:r>
      <w:r>
        <w:rPr>
          <w:i/>
          <w:sz w:val="26"/>
          <w:szCs w:val="26"/>
        </w:rPr>
        <w:t xml:space="preserve"> and </w:t>
      </w:r>
      <w:r w:rsidR="003501A5">
        <w:rPr>
          <w:i/>
          <w:sz w:val="26"/>
          <w:szCs w:val="26"/>
        </w:rPr>
        <w:t>Latha Prabhakar</w:t>
      </w:r>
      <w:r w:rsidR="008E5601">
        <w:rPr>
          <w:i/>
          <w:sz w:val="26"/>
          <w:szCs w:val="26"/>
        </w:rPr>
        <w:t xml:space="preserve"> </w:t>
      </w:r>
    </w:p>
    <w:p w14:paraId="23772A35" w14:textId="5ABD00E3" w:rsidR="00FA045D" w:rsidRPr="00F84443" w:rsidRDefault="00FA045D" w:rsidP="006346DE">
      <w:pPr>
        <w:pStyle w:val="Body"/>
        <w:jc w:val="center"/>
        <w:rPr>
          <w:i/>
          <w:sz w:val="26"/>
          <w:szCs w:val="26"/>
        </w:rPr>
      </w:pPr>
      <w:r>
        <w:rPr>
          <w:i/>
          <w:iCs/>
          <w:sz w:val="26"/>
          <w:szCs w:val="26"/>
        </w:rPr>
        <w:t>PointCross Life Sciences Inc.</w:t>
      </w:r>
    </w:p>
    <w:p w14:paraId="4914E660" w14:textId="77777777" w:rsidR="00B8517A" w:rsidRDefault="00B8517A" w:rsidP="00B8517A">
      <w:pPr>
        <w:pStyle w:val="Heading2"/>
        <w:rPr>
          <w:b/>
        </w:rPr>
      </w:pPr>
    </w:p>
    <w:p w14:paraId="41D6BEF3" w14:textId="77777777" w:rsidR="00F948AC" w:rsidRPr="00B8517A" w:rsidRDefault="00B8517A" w:rsidP="00B8517A">
      <w:pPr>
        <w:pStyle w:val="Heading2"/>
        <w:rPr>
          <w:b/>
        </w:rPr>
      </w:pPr>
      <w:r w:rsidRPr="00B8517A">
        <w:rPr>
          <w:b/>
        </w:rPr>
        <w:t>Abstract</w:t>
      </w:r>
    </w:p>
    <w:p w14:paraId="5B22D36D" w14:textId="77777777" w:rsidR="009757BD" w:rsidRDefault="009757BD" w:rsidP="009757BD">
      <w:pPr>
        <w:pStyle w:val="Body"/>
        <w:jc w:val="both"/>
        <w:rPr>
          <w:sz w:val="26"/>
          <w:szCs w:val="26"/>
        </w:rPr>
      </w:pPr>
      <w:r w:rsidRPr="00763E6B">
        <w:rPr>
          <w:sz w:val="26"/>
          <w:szCs w:val="26"/>
        </w:rPr>
        <w:t>Many factors in the SEND preparation process contribute to inconsistency with the authoritative and audited Study Report. But a persistent issue is the lack of standard terminology and consistent parsing of qualitative data such as in MI – Microscopic, MA-Macroscopic and CL-Clinical Observations that will improve quality and reduce costs.</w:t>
      </w:r>
    </w:p>
    <w:p w14:paraId="6215E99E" w14:textId="77777777" w:rsidR="009757BD" w:rsidRPr="00763E6B" w:rsidRDefault="009757BD" w:rsidP="009757BD">
      <w:pPr>
        <w:pStyle w:val="Body"/>
        <w:jc w:val="both"/>
        <w:rPr>
          <w:sz w:val="26"/>
          <w:szCs w:val="26"/>
        </w:rPr>
      </w:pPr>
    </w:p>
    <w:p w14:paraId="7DB03740" w14:textId="77777777" w:rsidR="009757BD" w:rsidRDefault="009757BD" w:rsidP="009757BD">
      <w:pPr>
        <w:pStyle w:val="Body"/>
        <w:jc w:val="both"/>
        <w:rPr>
          <w:sz w:val="26"/>
          <w:szCs w:val="26"/>
        </w:rPr>
      </w:pPr>
      <w:r w:rsidRPr="00763E6B">
        <w:rPr>
          <w:sz w:val="26"/>
          <w:szCs w:val="26"/>
        </w:rPr>
        <w:t>This paper describes a continuously improving process using machine learning algorithms driven by a digital representation of the Study Report to provide recommendations automatically for parsing observations to STRESC, Modifiers and Severity.</w:t>
      </w:r>
    </w:p>
    <w:p w14:paraId="6C447ED2" w14:textId="77777777" w:rsidR="009757BD" w:rsidRPr="00763E6B" w:rsidRDefault="009757BD" w:rsidP="009757BD">
      <w:pPr>
        <w:pStyle w:val="Body"/>
        <w:jc w:val="both"/>
        <w:rPr>
          <w:sz w:val="26"/>
          <w:szCs w:val="26"/>
        </w:rPr>
      </w:pPr>
    </w:p>
    <w:p w14:paraId="1AC21FC6" w14:textId="77777777" w:rsidR="009757BD" w:rsidRDefault="009757BD" w:rsidP="009757BD">
      <w:pPr>
        <w:pStyle w:val="Body"/>
        <w:jc w:val="both"/>
      </w:pPr>
      <w:r w:rsidRPr="00763E6B">
        <w:rPr>
          <w:sz w:val="26"/>
          <w:szCs w:val="26"/>
        </w:rPr>
        <w:t>The recommendation engine semantically recombines the SEND components to match the findings as reported in the Study Report allowing the automated comparator tool to check the consistency of the qualitative incidence counts and the quantitative data in SEND against the PDF Report</w:t>
      </w:r>
    </w:p>
    <w:p w14:paraId="47DAABDE" w14:textId="77777777" w:rsidR="00F948AC" w:rsidRDefault="00F948AC" w:rsidP="00F948AC">
      <w:pPr>
        <w:pStyle w:val="Body"/>
        <w:jc w:val="both"/>
        <w:rPr>
          <w:sz w:val="26"/>
          <w:szCs w:val="26"/>
        </w:rPr>
      </w:pPr>
    </w:p>
    <w:p w14:paraId="53020E8F" w14:textId="77777777" w:rsidR="00324260" w:rsidRDefault="00324260" w:rsidP="00C206AD">
      <w:pPr>
        <w:pStyle w:val="Heading2"/>
        <w:rPr>
          <w:b/>
        </w:rPr>
      </w:pPr>
    </w:p>
    <w:p w14:paraId="4E0B498F" w14:textId="77777777" w:rsidR="00324260" w:rsidRDefault="00324260" w:rsidP="00214B86"/>
    <w:p w14:paraId="2211D422" w14:textId="77777777" w:rsidR="00324260" w:rsidRDefault="00324260" w:rsidP="00214B86"/>
    <w:p w14:paraId="2103E662" w14:textId="77777777" w:rsidR="00324260" w:rsidRPr="00214B86" w:rsidRDefault="00324260" w:rsidP="00214B86"/>
    <w:p w14:paraId="2F91E643" w14:textId="77777777" w:rsidR="00324260" w:rsidRDefault="00324260" w:rsidP="00C206AD">
      <w:pPr>
        <w:pStyle w:val="Heading2"/>
        <w:rPr>
          <w:b/>
        </w:rPr>
      </w:pPr>
    </w:p>
    <w:p w14:paraId="2DAA02C3" w14:textId="77777777" w:rsidR="00324260" w:rsidRPr="00324260" w:rsidRDefault="00324260" w:rsidP="00214B86"/>
    <w:p w14:paraId="27E2950F" w14:textId="77777777" w:rsidR="0015362A" w:rsidRDefault="0015362A" w:rsidP="00C206AD">
      <w:pPr>
        <w:pStyle w:val="Heading2"/>
        <w:rPr>
          <w:b/>
        </w:rPr>
      </w:pPr>
    </w:p>
    <w:p w14:paraId="3A7D375E" w14:textId="77777777" w:rsidR="0015362A" w:rsidRDefault="0015362A" w:rsidP="0015362A"/>
    <w:p w14:paraId="70C1DF99" w14:textId="77777777" w:rsidR="0015362A" w:rsidRDefault="0015362A" w:rsidP="0015362A"/>
    <w:p w14:paraId="58ABD13D" w14:textId="77777777" w:rsidR="0015362A" w:rsidRDefault="0015362A" w:rsidP="0015362A"/>
    <w:p w14:paraId="5286F749" w14:textId="77777777" w:rsidR="0015362A" w:rsidRDefault="0015362A" w:rsidP="0015362A"/>
    <w:p w14:paraId="1EC99B77" w14:textId="77777777" w:rsidR="0015362A" w:rsidRPr="0015362A" w:rsidRDefault="0015362A" w:rsidP="0015362A"/>
    <w:p w14:paraId="42D0BB41" w14:textId="77777777" w:rsidR="00842294" w:rsidRDefault="006E26F4" w:rsidP="00C206AD">
      <w:pPr>
        <w:pStyle w:val="Heading2"/>
        <w:rPr>
          <w:b/>
        </w:rPr>
      </w:pPr>
      <w:r>
        <w:rPr>
          <w:b/>
        </w:rPr>
        <w:lastRenderedPageBreak/>
        <w:t>Background</w:t>
      </w:r>
    </w:p>
    <w:p w14:paraId="5CAC9164" w14:textId="77777777" w:rsidR="00F51591" w:rsidRPr="00F948AC" w:rsidRDefault="007317E0" w:rsidP="00F948AC">
      <w:pPr>
        <w:pStyle w:val="Body"/>
        <w:jc w:val="both"/>
        <w:rPr>
          <w:sz w:val="26"/>
          <w:szCs w:val="26"/>
        </w:rPr>
      </w:pPr>
      <w:r w:rsidRPr="00F948AC">
        <w:rPr>
          <w:sz w:val="26"/>
          <w:szCs w:val="26"/>
        </w:rPr>
        <w:t>SEND is currently the preferred submission format for the US FDA</w:t>
      </w:r>
      <w:r w:rsidR="00FF0112" w:rsidRPr="00F948AC">
        <w:rPr>
          <w:sz w:val="26"/>
          <w:szCs w:val="26"/>
        </w:rPr>
        <w:t xml:space="preserve"> and became </w:t>
      </w:r>
      <w:r w:rsidR="00450620" w:rsidRPr="00F948AC">
        <w:rPr>
          <w:sz w:val="26"/>
          <w:szCs w:val="26"/>
        </w:rPr>
        <w:t xml:space="preserve">a </w:t>
      </w:r>
      <w:r w:rsidR="007618A3" w:rsidRPr="00F948AC">
        <w:rPr>
          <w:sz w:val="26"/>
          <w:szCs w:val="26"/>
        </w:rPr>
        <w:t>mandate on</w:t>
      </w:r>
      <w:r w:rsidR="00721BF7">
        <w:rPr>
          <w:sz w:val="26"/>
          <w:szCs w:val="26"/>
        </w:rPr>
        <w:t xml:space="preserve"> 18th December 2017</w:t>
      </w:r>
      <w:r w:rsidR="006346DE">
        <w:rPr>
          <w:sz w:val="26"/>
          <w:szCs w:val="26"/>
          <w:vertAlign w:val="superscript"/>
        </w:rPr>
        <w:t>1</w:t>
      </w:r>
      <w:r w:rsidRPr="00F948AC">
        <w:rPr>
          <w:sz w:val="26"/>
          <w:szCs w:val="26"/>
        </w:rPr>
        <w:t>. In SEND, all findings (MI-Microscopic Findings, MA-Macroscopic Findings, CL-Clinical Observations)</w:t>
      </w:r>
      <w:r w:rsidR="00FF0112" w:rsidRPr="00F948AC">
        <w:rPr>
          <w:sz w:val="26"/>
          <w:szCs w:val="26"/>
        </w:rPr>
        <w:t xml:space="preserve"> as reported by P</w:t>
      </w:r>
      <w:r w:rsidRPr="00F948AC">
        <w:rPr>
          <w:sz w:val="26"/>
          <w:szCs w:val="26"/>
        </w:rPr>
        <w:t>athologists/Toxicologist</w:t>
      </w:r>
      <w:r w:rsidR="002C1953" w:rsidRPr="00F948AC">
        <w:rPr>
          <w:sz w:val="26"/>
          <w:szCs w:val="26"/>
        </w:rPr>
        <w:t xml:space="preserve"> are needed</w:t>
      </w:r>
      <w:r w:rsidRPr="00F948AC">
        <w:rPr>
          <w:sz w:val="26"/>
          <w:szCs w:val="26"/>
        </w:rPr>
        <w:t>,  these original as collected observations</w:t>
      </w:r>
      <w:r w:rsidR="002B2E37" w:rsidRPr="00F948AC">
        <w:rPr>
          <w:sz w:val="26"/>
          <w:szCs w:val="26"/>
        </w:rPr>
        <w:t xml:space="preserve"> are </w:t>
      </w:r>
      <w:r w:rsidR="00FF0112" w:rsidRPr="00F948AC">
        <w:rPr>
          <w:sz w:val="26"/>
          <w:szCs w:val="26"/>
        </w:rPr>
        <w:t xml:space="preserve">split appropriately and </w:t>
      </w:r>
      <w:r w:rsidRPr="00F948AC">
        <w:rPr>
          <w:sz w:val="26"/>
          <w:szCs w:val="26"/>
        </w:rPr>
        <w:t xml:space="preserve">standardized to controlled terminology and then mapped to separate columns in SEND domains. </w:t>
      </w:r>
      <w:r w:rsidR="002C1953" w:rsidRPr="00F948AC">
        <w:rPr>
          <w:sz w:val="26"/>
          <w:szCs w:val="26"/>
        </w:rPr>
        <w:t>These Result or Findings as Collected (ORRES) contain terms including base pathological</w:t>
      </w:r>
      <w:r w:rsidR="00842427" w:rsidRPr="00F948AC">
        <w:rPr>
          <w:sz w:val="26"/>
          <w:szCs w:val="26"/>
        </w:rPr>
        <w:t xml:space="preserve"> process, severity, </w:t>
      </w:r>
      <w:r w:rsidR="002C1953" w:rsidRPr="00F948AC">
        <w:rPr>
          <w:sz w:val="26"/>
          <w:szCs w:val="26"/>
        </w:rPr>
        <w:t>modifiers</w:t>
      </w:r>
      <w:r w:rsidR="00842427" w:rsidRPr="00F948AC">
        <w:rPr>
          <w:sz w:val="26"/>
          <w:szCs w:val="26"/>
        </w:rPr>
        <w:t xml:space="preserve"> and </w:t>
      </w:r>
      <w:r w:rsidR="00AF7FA7" w:rsidRPr="00F948AC">
        <w:rPr>
          <w:sz w:val="26"/>
          <w:szCs w:val="26"/>
        </w:rPr>
        <w:t xml:space="preserve">at times </w:t>
      </w:r>
      <w:r w:rsidR="00842427" w:rsidRPr="00F948AC">
        <w:rPr>
          <w:sz w:val="26"/>
          <w:szCs w:val="26"/>
        </w:rPr>
        <w:t>specimen type</w:t>
      </w:r>
      <w:r w:rsidR="00FF0112" w:rsidRPr="00F948AC">
        <w:rPr>
          <w:sz w:val="26"/>
          <w:szCs w:val="26"/>
        </w:rPr>
        <w:t xml:space="preserve">. </w:t>
      </w:r>
    </w:p>
    <w:p w14:paraId="63528EEE" w14:textId="77777777" w:rsidR="00F948AC" w:rsidRDefault="00F948AC" w:rsidP="00F948AC">
      <w:pPr>
        <w:pStyle w:val="Body"/>
        <w:jc w:val="both"/>
        <w:rPr>
          <w:sz w:val="26"/>
          <w:szCs w:val="26"/>
        </w:rPr>
      </w:pPr>
    </w:p>
    <w:p w14:paraId="714225FC" w14:textId="77777777" w:rsidR="007E6F04" w:rsidRPr="00F948AC" w:rsidRDefault="00E92534" w:rsidP="00F948AC">
      <w:pPr>
        <w:pStyle w:val="Body"/>
        <w:jc w:val="both"/>
        <w:rPr>
          <w:sz w:val="26"/>
          <w:szCs w:val="26"/>
        </w:rPr>
      </w:pPr>
      <w:r w:rsidRPr="00F948AC">
        <w:rPr>
          <w:sz w:val="26"/>
          <w:szCs w:val="26"/>
        </w:rPr>
        <w:t>T</w:t>
      </w:r>
      <w:r w:rsidR="002B2E37" w:rsidRPr="00F948AC">
        <w:rPr>
          <w:sz w:val="26"/>
          <w:szCs w:val="26"/>
        </w:rPr>
        <w:t xml:space="preserve">he </w:t>
      </w:r>
      <w:r w:rsidR="00031978" w:rsidRPr="00F948AC">
        <w:rPr>
          <w:sz w:val="26"/>
          <w:szCs w:val="26"/>
        </w:rPr>
        <w:t xml:space="preserve">Global </w:t>
      </w:r>
      <w:r w:rsidR="002B2E37" w:rsidRPr="00F948AC">
        <w:rPr>
          <w:sz w:val="26"/>
          <w:szCs w:val="26"/>
        </w:rPr>
        <w:t>standard</w:t>
      </w:r>
      <w:r w:rsidR="00AF7FA7" w:rsidRPr="00F948AC">
        <w:rPr>
          <w:sz w:val="26"/>
          <w:szCs w:val="26"/>
        </w:rPr>
        <w:t xml:space="preserve"> </w:t>
      </w:r>
      <w:r w:rsidR="00031978" w:rsidRPr="00F948AC">
        <w:rPr>
          <w:sz w:val="26"/>
          <w:szCs w:val="26"/>
        </w:rPr>
        <w:t>terminologies</w:t>
      </w:r>
      <w:r w:rsidR="00AF7FA7" w:rsidRPr="00F948AC">
        <w:rPr>
          <w:sz w:val="26"/>
          <w:szCs w:val="26"/>
        </w:rPr>
        <w:t xml:space="preserve"> and ontologies</w:t>
      </w:r>
      <w:r w:rsidR="002B2E37" w:rsidRPr="00F948AC">
        <w:rPr>
          <w:sz w:val="26"/>
          <w:szCs w:val="26"/>
        </w:rPr>
        <w:t xml:space="preserve"> for pathological findings</w:t>
      </w:r>
      <w:r w:rsidR="00F51591" w:rsidRPr="00F948AC">
        <w:rPr>
          <w:sz w:val="26"/>
          <w:szCs w:val="26"/>
        </w:rPr>
        <w:t xml:space="preserve"> are often limited.</w:t>
      </w:r>
      <w:r w:rsidR="002B2E37" w:rsidRPr="00F948AC">
        <w:rPr>
          <w:sz w:val="26"/>
          <w:szCs w:val="26"/>
        </w:rPr>
        <w:t xml:space="preserve"> </w:t>
      </w:r>
      <w:r w:rsidRPr="00F948AC">
        <w:rPr>
          <w:sz w:val="26"/>
          <w:szCs w:val="26"/>
        </w:rPr>
        <w:t xml:space="preserve"> </w:t>
      </w:r>
      <w:r w:rsidR="00AF7FA7" w:rsidRPr="00F948AC">
        <w:rPr>
          <w:sz w:val="26"/>
          <w:szCs w:val="26"/>
        </w:rPr>
        <w:t xml:space="preserve">INHAND (International Harmonization of Nomenclature and Diagnostic Criteria) initiative provides a standardized nomenclature and differential diagnosis for classifying microscopic lesions observed in laboratory rats and mice in toxicity. </w:t>
      </w:r>
      <w:r w:rsidR="00031978" w:rsidRPr="00F948AC">
        <w:rPr>
          <w:sz w:val="26"/>
          <w:szCs w:val="26"/>
        </w:rPr>
        <w:t xml:space="preserve">It </w:t>
      </w:r>
      <w:r w:rsidR="003146D1">
        <w:rPr>
          <w:sz w:val="26"/>
          <w:szCs w:val="26"/>
        </w:rPr>
        <w:t xml:space="preserve">is </w:t>
      </w:r>
      <w:r w:rsidR="006672E2" w:rsidRPr="00F948AC">
        <w:rPr>
          <w:sz w:val="26"/>
          <w:szCs w:val="26"/>
        </w:rPr>
        <w:t>often restricted</w:t>
      </w:r>
      <w:r w:rsidR="00031978" w:rsidRPr="00F948AC">
        <w:rPr>
          <w:sz w:val="26"/>
          <w:szCs w:val="26"/>
        </w:rPr>
        <w:t xml:space="preserve"> to rats and mice</w:t>
      </w:r>
      <w:r w:rsidR="003146D1">
        <w:rPr>
          <w:sz w:val="26"/>
          <w:szCs w:val="26"/>
        </w:rPr>
        <w:t xml:space="preserve"> and</w:t>
      </w:r>
      <w:r w:rsidR="00031978" w:rsidRPr="00F948AC">
        <w:rPr>
          <w:sz w:val="26"/>
          <w:szCs w:val="26"/>
        </w:rPr>
        <w:t>, as of August 2016</w:t>
      </w:r>
      <w:r w:rsidR="00D2451F" w:rsidRPr="00F948AC">
        <w:rPr>
          <w:sz w:val="26"/>
          <w:szCs w:val="26"/>
        </w:rPr>
        <w:t>, the total coverage was</w:t>
      </w:r>
      <w:r w:rsidR="00031978" w:rsidRPr="00F948AC">
        <w:rPr>
          <w:sz w:val="26"/>
          <w:szCs w:val="26"/>
        </w:rPr>
        <w:t xml:space="preserve"> only 78% </w:t>
      </w:r>
      <w:r w:rsidR="00450620" w:rsidRPr="00F948AC">
        <w:rPr>
          <w:sz w:val="26"/>
          <w:szCs w:val="26"/>
        </w:rPr>
        <w:t xml:space="preserve">(1247 terms) </w:t>
      </w:r>
      <w:r w:rsidR="00031978" w:rsidRPr="00F948AC">
        <w:rPr>
          <w:sz w:val="26"/>
          <w:szCs w:val="26"/>
        </w:rPr>
        <w:t xml:space="preserve">of standard nomenclature for microscopic lesions, </w:t>
      </w:r>
      <w:r w:rsidR="003146D1">
        <w:rPr>
          <w:sz w:val="26"/>
          <w:szCs w:val="26"/>
        </w:rPr>
        <w:t xml:space="preserve">in addition to the fact that it is often restricted to only rats and mice and still needs </w:t>
      </w:r>
      <w:r w:rsidR="003146D1" w:rsidRPr="00F948AC">
        <w:rPr>
          <w:sz w:val="26"/>
          <w:szCs w:val="26"/>
        </w:rPr>
        <w:t>to</w:t>
      </w:r>
      <w:r w:rsidR="003146D1">
        <w:rPr>
          <w:sz w:val="26"/>
          <w:szCs w:val="26"/>
        </w:rPr>
        <w:t xml:space="preserve"> be </w:t>
      </w:r>
      <w:r w:rsidR="003146D1" w:rsidRPr="00F948AC">
        <w:rPr>
          <w:sz w:val="26"/>
          <w:szCs w:val="26"/>
        </w:rPr>
        <w:t>develop</w:t>
      </w:r>
      <w:r w:rsidR="003146D1">
        <w:rPr>
          <w:sz w:val="26"/>
          <w:szCs w:val="26"/>
        </w:rPr>
        <w:t>ed</w:t>
      </w:r>
      <w:r w:rsidR="003146D1" w:rsidRPr="00F948AC">
        <w:rPr>
          <w:sz w:val="26"/>
          <w:szCs w:val="26"/>
        </w:rPr>
        <w:t xml:space="preserve"> </w:t>
      </w:r>
      <w:r w:rsidR="00D2451F" w:rsidRPr="00F948AC">
        <w:rPr>
          <w:sz w:val="26"/>
          <w:szCs w:val="26"/>
        </w:rPr>
        <w:t>for other species</w:t>
      </w:r>
      <w:r w:rsidR="007E6F04" w:rsidRPr="00F948AC">
        <w:rPr>
          <w:sz w:val="26"/>
          <w:szCs w:val="26"/>
        </w:rPr>
        <w:t xml:space="preserve"> (currently it is not the scope of the project</w:t>
      </w:r>
      <w:r w:rsidR="00F948AC">
        <w:rPr>
          <w:sz w:val="26"/>
          <w:szCs w:val="26"/>
          <w:vertAlign w:val="superscript"/>
        </w:rPr>
        <w:t>2</w:t>
      </w:r>
      <w:r w:rsidR="007E6F04" w:rsidRPr="00F948AC">
        <w:rPr>
          <w:sz w:val="26"/>
          <w:szCs w:val="26"/>
        </w:rPr>
        <w:t xml:space="preserve">). The published terms are still insufficient and INHAND itself still need to add and rectify. There is no global standard terminology for clinical observations and macroscopic findings and it is not even in </w:t>
      </w:r>
      <w:r w:rsidR="00E875E7">
        <w:rPr>
          <w:sz w:val="26"/>
          <w:szCs w:val="26"/>
        </w:rPr>
        <w:t xml:space="preserve">the </w:t>
      </w:r>
      <w:r w:rsidR="007E6F04" w:rsidRPr="00F948AC">
        <w:rPr>
          <w:sz w:val="26"/>
          <w:szCs w:val="26"/>
        </w:rPr>
        <w:t>pipeline of development.</w:t>
      </w:r>
      <w:r w:rsidR="00B40DA7" w:rsidRPr="00F948AC">
        <w:rPr>
          <w:sz w:val="26"/>
          <w:szCs w:val="26"/>
        </w:rPr>
        <w:t xml:space="preserve"> </w:t>
      </w:r>
    </w:p>
    <w:p w14:paraId="11B83979" w14:textId="77777777" w:rsidR="00450620" w:rsidRPr="00F948AC" w:rsidRDefault="005C6A5B" w:rsidP="00F948AC">
      <w:pPr>
        <w:pStyle w:val="Body"/>
        <w:jc w:val="both"/>
        <w:rPr>
          <w:sz w:val="26"/>
          <w:szCs w:val="26"/>
        </w:rPr>
      </w:pPr>
      <w:r w:rsidRPr="00F948AC">
        <w:rPr>
          <w:sz w:val="26"/>
          <w:szCs w:val="26"/>
        </w:rPr>
        <w:t xml:space="preserve">Similarly </w:t>
      </w:r>
      <w:r w:rsidR="00450620" w:rsidRPr="00F948AC">
        <w:rPr>
          <w:sz w:val="26"/>
          <w:szCs w:val="26"/>
        </w:rPr>
        <w:t xml:space="preserve">another challenge is </w:t>
      </w:r>
      <w:r w:rsidRPr="00F948AC">
        <w:rPr>
          <w:sz w:val="26"/>
          <w:szCs w:val="26"/>
        </w:rPr>
        <w:t xml:space="preserve">SEND accepts </w:t>
      </w:r>
      <w:r w:rsidR="00450620" w:rsidRPr="00F948AC">
        <w:rPr>
          <w:sz w:val="26"/>
          <w:szCs w:val="26"/>
        </w:rPr>
        <w:t xml:space="preserve">a </w:t>
      </w:r>
      <w:r w:rsidRPr="00F948AC">
        <w:rPr>
          <w:sz w:val="26"/>
          <w:szCs w:val="26"/>
        </w:rPr>
        <w:t>framework of study d</w:t>
      </w:r>
      <w:r w:rsidR="00450620" w:rsidRPr="00F948AC">
        <w:rPr>
          <w:sz w:val="26"/>
          <w:szCs w:val="26"/>
        </w:rPr>
        <w:t>esign</w:t>
      </w:r>
      <w:r w:rsidRPr="00F948AC">
        <w:rPr>
          <w:sz w:val="26"/>
          <w:szCs w:val="26"/>
        </w:rPr>
        <w:t xml:space="preserve"> in TE-Trial Elements, TA-Trial Arms and TX-Trial Sets domains.</w:t>
      </w:r>
      <w:r w:rsidR="00AB425F" w:rsidRPr="00F948AC">
        <w:rPr>
          <w:sz w:val="26"/>
          <w:szCs w:val="26"/>
        </w:rPr>
        <w:t xml:space="preserve"> The trial design of a SEND dataset is designed to be machine-readable and it is very granular. It takes into account all variations in the trial arm of each dose group leading to more trial sets of fewer and more narrowly similar subjects having common set of experimental and sponsor defined parameters. </w:t>
      </w:r>
      <w:r w:rsidR="00CF1287" w:rsidRPr="00F948AC">
        <w:rPr>
          <w:sz w:val="26"/>
          <w:szCs w:val="26"/>
        </w:rPr>
        <w:t>Whereas study reports generally have study design defined at dose/treatment groups.</w:t>
      </w:r>
      <w:r w:rsidR="007873D1" w:rsidRPr="00F948AC">
        <w:rPr>
          <w:sz w:val="26"/>
          <w:szCs w:val="26"/>
        </w:rPr>
        <w:t xml:space="preserve"> SEND also requires standardized way of explicitly stating certain decision rules that may not be seamless in the study Report.</w:t>
      </w:r>
      <w:r w:rsidR="00450620" w:rsidRPr="00F948AC">
        <w:rPr>
          <w:sz w:val="26"/>
          <w:szCs w:val="26"/>
        </w:rPr>
        <w:t xml:space="preserve"> </w:t>
      </w:r>
    </w:p>
    <w:p w14:paraId="6381936C" w14:textId="77777777" w:rsidR="00D523BC" w:rsidRPr="00F948AC" w:rsidRDefault="00450620" w:rsidP="00D523BC">
      <w:pPr>
        <w:pStyle w:val="Body"/>
        <w:jc w:val="both"/>
        <w:rPr>
          <w:sz w:val="26"/>
          <w:szCs w:val="26"/>
        </w:rPr>
      </w:pPr>
      <w:r w:rsidRPr="00F948AC">
        <w:rPr>
          <w:sz w:val="26"/>
          <w:szCs w:val="26"/>
        </w:rPr>
        <w:t xml:space="preserve">Hence increased granularity of SEND trial design domains compared to sponsor dose </w:t>
      </w:r>
      <w:r w:rsidR="00AB6CD7" w:rsidRPr="00F948AC">
        <w:rPr>
          <w:sz w:val="26"/>
          <w:szCs w:val="26"/>
        </w:rPr>
        <w:t>group</w:t>
      </w:r>
      <w:r w:rsidRPr="00F948AC">
        <w:rPr>
          <w:sz w:val="26"/>
          <w:szCs w:val="26"/>
        </w:rPr>
        <w:t xml:space="preserve"> assignment and </w:t>
      </w:r>
      <w:r w:rsidR="00D523BC">
        <w:rPr>
          <w:sz w:val="26"/>
          <w:szCs w:val="26"/>
        </w:rPr>
        <w:t xml:space="preserve">the </w:t>
      </w:r>
      <w:r w:rsidR="00D523BC" w:rsidRPr="00F948AC">
        <w:rPr>
          <w:sz w:val="26"/>
          <w:szCs w:val="26"/>
        </w:rPr>
        <w:t>need of explicit rendition of base pathological process and modifiers introduce challenges when sponsor</w:t>
      </w:r>
      <w:r w:rsidR="00D523BC">
        <w:rPr>
          <w:sz w:val="26"/>
          <w:szCs w:val="26"/>
        </w:rPr>
        <w:t>s</w:t>
      </w:r>
      <w:r w:rsidR="00D523BC" w:rsidRPr="00F948AC">
        <w:rPr>
          <w:sz w:val="26"/>
          <w:szCs w:val="26"/>
        </w:rPr>
        <w:t xml:space="preserve"> </w:t>
      </w:r>
      <w:r w:rsidR="00D523BC">
        <w:rPr>
          <w:sz w:val="26"/>
          <w:szCs w:val="26"/>
        </w:rPr>
        <w:t>trying</w:t>
      </w:r>
      <w:r w:rsidR="00D523BC" w:rsidRPr="00F948AC">
        <w:rPr>
          <w:sz w:val="26"/>
          <w:szCs w:val="26"/>
        </w:rPr>
        <w:t xml:space="preserve"> to create SEND datasets</w:t>
      </w:r>
      <w:r w:rsidR="00D523BC">
        <w:rPr>
          <w:sz w:val="26"/>
          <w:szCs w:val="26"/>
        </w:rPr>
        <w:t>. This also leads consistency and quality issues between the SEND datasets and Study Report</w:t>
      </w:r>
    </w:p>
    <w:p w14:paraId="7D018679" w14:textId="77777777" w:rsidR="00D523BC" w:rsidRDefault="00D523BC" w:rsidP="00D523BC">
      <w:pPr>
        <w:pStyle w:val="Body"/>
        <w:jc w:val="both"/>
        <w:rPr>
          <w:b/>
        </w:rPr>
      </w:pPr>
    </w:p>
    <w:p w14:paraId="3E90D3E8" w14:textId="77777777" w:rsidR="006F4E00" w:rsidRPr="00D523BC" w:rsidRDefault="009A4357" w:rsidP="00D523BC">
      <w:pPr>
        <w:pStyle w:val="Heading2"/>
        <w:rPr>
          <w:b/>
        </w:rPr>
      </w:pPr>
      <w:r w:rsidRPr="00D523BC">
        <w:rPr>
          <w:b/>
        </w:rPr>
        <w:t>Business Problem</w:t>
      </w:r>
    </w:p>
    <w:p w14:paraId="551E402D" w14:textId="6D1C74D1" w:rsidR="009A4357" w:rsidRPr="00F948AC" w:rsidRDefault="002E3345" w:rsidP="00FA045D">
      <w:pPr>
        <w:jc w:val="both"/>
        <w:rPr>
          <w:rFonts w:ascii="Calibri" w:eastAsia="Calibri" w:hAnsi="Calibri" w:cs="Calibri"/>
          <w:color w:val="000000"/>
          <w:sz w:val="26"/>
          <w:szCs w:val="26"/>
          <w:u w:color="000000"/>
          <w:bdr w:val="nil"/>
        </w:rPr>
      </w:pPr>
      <w:r w:rsidRPr="00F948AC">
        <w:rPr>
          <w:rFonts w:ascii="Calibri" w:eastAsia="Calibri" w:hAnsi="Calibri" w:cs="Calibri"/>
          <w:color w:val="000000"/>
          <w:sz w:val="26"/>
          <w:szCs w:val="26"/>
          <w:u w:color="000000"/>
          <w:bdr w:val="nil"/>
        </w:rPr>
        <w:t>In general</w:t>
      </w:r>
      <w:r w:rsidR="003501A5" w:rsidRPr="003501A5">
        <w:rPr>
          <w:rFonts w:eastAsiaTheme="minorEastAsia" w:hAnsi="Calibri"/>
          <w:color w:val="000000" w:themeColor="text1"/>
          <w:kern w:val="24"/>
          <w:sz w:val="48"/>
          <w:szCs w:val="48"/>
        </w:rPr>
        <w:t xml:space="preserve"> </w:t>
      </w:r>
      <w:r w:rsidR="003501A5">
        <w:rPr>
          <w:rFonts w:ascii="Calibri" w:eastAsia="Calibri" w:hAnsi="Calibri" w:cs="Calibri"/>
          <w:color w:val="000000"/>
          <w:sz w:val="26"/>
          <w:szCs w:val="26"/>
          <w:u w:color="000000"/>
          <w:bdr w:val="nil"/>
        </w:rPr>
        <w:t>Pathologist and veterinarians</w:t>
      </w:r>
      <w:r w:rsidRPr="00F948AC">
        <w:rPr>
          <w:rFonts w:ascii="Calibri" w:eastAsia="Calibri" w:hAnsi="Calibri" w:cs="Calibri"/>
          <w:color w:val="000000"/>
          <w:sz w:val="26"/>
          <w:szCs w:val="26"/>
          <w:u w:color="000000"/>
          <w:bdr w:val="nil"/>
        </w:rPr>
        <w:t xml:space="preserve"> either </w:t>
      </w:r>
      <w:r w:rsidR="003501A5" w:rsidRPr="003501A5">
        <w:rPr>
          <w:bCs/>
          <w:sz w:val="26"/>
          <w:szCs w:val="26"/>
        </w:rPr>
        <w:t xml:space="preserve">enter their original findings in Clinical Observations or Pathology data entry systems which is then mapped to ORRES in SEND data generation </w:t>
      </w:r>
      <w:r w:rsidR="003A1472" w:rsidRPr="00F948AC">
        <w:rPr>
          <w:rFonts w:ascii="Calibri" w:eastAsia="Calibri" w:hAnsi="Calibri" w:cs="Calibri"/>
          <w:color w:val="000000"/>
          <w:sz w:val="26"/>
          <w:szCs w:val="26"/>
          <w:u w:color="000000"/>
          <w:bdr w:val="nil"/>
        </w:rPr>
        <w:t xml:space="preserve">These ORRES are further split by certain automation rules and patterns, </w:t>
      </w:r>
      <w:r w:rsidR="00D523BC">
        <w:rPr>
          <w:rFonts w:ascii="Calibri" w:eastAsia="Calibri" w:hAnsi="Calibri" w:cs="Calibri"/>
          <w:color w:val="000000"/>
          <w:sz w:val="26"/>
          <w:szCs w:val="26"/>
          <w:u w:color="000000"/>
          <w:bdr w:val="nil"/>
        </w:rPr>
        <w:t>and</w:t>
      </w:r>
      <w:r w:rsidR="003A1472" w:rsidRPr="00F948AC">
        <w:rPr>
          <w:rFonts w:ascii="Calibri" w:eastAsia="Calibri" w:hAnsi="Calibri" w:cs="Calibri"/>
          <w:color w:val="000000"/>
          <w:sz w:val="26"/>
          <w:szCs w:val="26"/>
          <w:u w:color="000000"/>
          <w:bdr w:val="nil"/>
        </w:rPr>
        <w:t xml:space="preserve"> converted to Base Pathological Process, Modifiers and Severity.  Modifiers that are commonly used include organ-specific topography, distribution, character of the change and</w:t>
      </w:r>
      <w:r w:rsidR="006346DE">
        <w:rPr>
          <w:rFonts w:ascii="Calibri" w:eastAsia="Calibri" w:hAnsi="Calibri" w:cs="Calibri"/>
          <w:color w:val="000000"/>
          <w:sz w:val="26"/>
          <w:szCs w:val="26"/>
          <w:u w:color="000000"/>
          <w:bdr w:val="nil"/>
        </w:rPr>
        <w:t xml:space="preserve"> duration (Frame and Mann, 2008</w:t>
      </w:r>
      <w:r w:rsidR="006346DE">
        <w:rPr>
          <w:rFonts w:ascii="Calibri" w:eastAsia="Calibri" w:hAnsi="Calibri" w:cs="Calibri"/>
          <w:color w:val="000000"/>
          <w:sz w:val="26"/>
          <w:szCs w:val="26"/>
          <w:u w:color="000000"/>
          <w:bdr w:val="nil"/>
          <w:vertAlign w:val="superscript"/>
        </w:rPr>
        <w:t>3</w:t>
      </w:r>
      <w:r w:rsidR="003A1472" w:rsidRPr="00F948AC">
        <w:rPr>
          <w:rFonts w:ascii="Calibri" w:eastAsia="Calibri" w:hAnsi="Calibri" w:cs="Calibri"/>
          <w:color w:val="000000"/>
          <w:sz w:val="26"/>
          <w:szCs w:val="26"/>
          <w:u w:color="000000"/>
          <w:bdr w:val="nil"/>
        </w:rPr>
        <w:t xml:space="preserve">). </w:t>
      </w:r>
    </w:p>
    <w:p w14:paraId="0490D079" w14:textId="77777777" w:rsidR="00E41E49" w:rsidRPr="00F948AC" w:rsidRDefault="003A1472" w:rsidP="00FA045D">
      <w:pPr>
        <w:jc w:val="both"/>
        <w:rPr>
          <w:rFonts w:ascii="Calibri" w:eastAsia="Calibri" w:hAnsi="Calibri" w:cs="Calibri"/>
          <w:color w:val="000000"/>
          <w:sz w:val="26"/>
          <w:szCs w:val="26"/>
          <w:u w:color="000000"/>
          <w:bdr w:val="nil"/>
        </w:rPr>
      </w:pPr>
      <w:r w:rsidRPr="00F948AC">
        <w:rPr>
          <w:rFonts w:ascii="Calibri" w:eastAsia="Calibri" w:hAnsi="Calibri" w:cs="Calibri"/>
          <w:color w:val="000000"/>
          <w:sz w:val="26"/>
          <w:szCs w:val="26"/>
          <w:u w:color="000000"/>
          <w:bdr w:val="nil"/>
        </w:rPr>
        <w:lastRenderedPageBreak/>
        <w:t>The Base Pathological term</w:t>
      </w:r>
      <w:r w:rsidR="007D1562" w:rsidRPr="00F948AC">
        <w:rPr>
          <w:rFonts w:ascii="Calibri" w:eastAsia="Calibri" w:hAnsi="Calibri" w:cs="Calibri"/>
          <w:color w:val="000000"/>
          <w:sz w:val="26"/>
          <w:szCs w:val="26"/>
          <w:u w:color="000000"/>
          <w:bdr w:val="nil"/>
        </w:rPr>
        <w:t xml:space="preserve">s and </w:t>
      </w:r>
      <w:r w:rsidRPr="00F948AC">
        <w:rPr>
          <w:rFonts w:ascii="Calibri" w:eastAsia="Calibri" w:hAnsi="Calibri" w:cs="Calibri"/>
          <w:color w:val="000000"/>
          <w:sz w:val="26"/>
          <w:szCs w:val="26"/>
          <w:u w:color="000000"/>
          <w:bdr w:val="nil"/>
        </w:rPr>
        <w:t xml:space="preserve">modifiers that are created </w:t>
      </w:r>
      <w:r w:rsidR="008F6E3F" w:rsidRPr="00F948AC">
        <w:rPr>
          <w:rFonts w:ascii="Calibri" w:eastAsia="Calibri" w:hAnsi="Calibri" w:cs="Calibri"/>
          <w:color w:val="000000"/>
          <w:sz w:val="26"/>
          <w:szCs w:val="26"/>
          <w:u w:color="000000"/>
          <w:bdr w:val="nil"/>
        </w:rPr>
        <w:t>either by the</w:t>
      </w:r>
      <w:r w:rsidRPr="00F948AC">
        <w:rPr>
          <w:rFonts w:ascii="Calibri" w:eastAsia="Calibri" w:hAnsi="Calibri" w:cs="Calibri"/>
          <w:color w:val="000000"/>
          <w:sz w:val="26"/>
          <w:szCs w:val="26"/>
          <w:u w:color="000000"/>
          <w:bdr w:val="nil"/>
        </w:rPr>
        <w:t xml:space="preserve"> rule base</w:t>
      </w:r>
      <w:r w:rsidR="007D1562" w:rsidRPr="00F948AC">
        <w:rPr>
          <w:rFonts w:ascii="Calibri" w:eastAsia="Calibri" w:hAnsi="Calibri" w:cs="Calibri"/>
          <w:color w:val="000000"/>
          <w:sz w:val="26"/>
          <w:szCs w:val="26"/>
          <w:u w:color="000000"/>
          <w:bdr w:val="nil"/>
        </w:rPr>
        <w:t>d</w:t>
      </w:r>
      <w:r w:rsidRPr="00F948AC">
        <w:rPr>
          <w:rFonts w:ascii="Calibri" w:eastAsia="Calibri" w:hAnsi="Calibri" w:cs="Calibri"/>
          <w:color w:val="000000"/>
          <w:sz w:val="26"/>
          <w:szCs w:val="26"/>
          <w:u w:color="000000"/>
          <w:bdr w:val="nil"/>
        </w:rPr>
        <w:t xml:space="preserve"> approach</w:t>
      </w:r>
      <w:r w:rsidR="008F6E3F" w:rsidRPr="00F948AC">
        <w:rPr>
          <w:rFonts w:ascii="Calibri" w:eastAsia="Calibri" w:hAnsi="Calibri" w:cs="Calibri"/>
          <w:color w:val="000000"/>
          <w:sz w:val="26"/>
          <w:szCs w:val="26"/>
          <w:u w:color="000000"/>
          <w:bdr w:val="nil"/>
        </w:rPr>
        <w:t xml:space="preserve"> or </w:t>
      </w:r>
      <w:r w:rsidR="00D523BC">
        <w:rPr>
          <w:rFonts w:ascii="Calibri" w:eastAsia="Calibri" w:hAnsi="Calibri" w:cs="Calibri"/>
          <w:color w:val="000000"/>
          <w:sz w:val="26"/>
          <w:szCs w:val="26"/>
          <w:u w:color="000000"/>
          <w:bdr w:val="nil"/>
        </w:rPr>
        <w:t xml:space="preserve">by Experts curating </w:t>
      </w:r>
      <w:r w:rsidR="008F6E3F" w:rsidRPr="00F948AC">
        <w:rPr>
          <w:rFonts w:ascii="Calibri" w:eastAsia="Calibri" w:hAnsi="Calibri" w:cs="Calibri"/>
          <w:color w:val="000000"/>
          <w:sz w:val="26"/>
          <w:szCs w:val="26"/>
          <w:u w:color="000000"/>
          <w:bdr w:val="nil"/>
        </w:rPr>
        <w:t>each unique terms</w:t>
      </w:r>
      <w:r w:rsidR="00D523BC">
        <w:rPr>
          <w:rFonts w:ascii="Calibri" w:eastAsia="Calibri" w:hAnsi="Calibri" w:cs="Calibri"/>
          <w:color w:val="000000"/>
          <w:sz w:val="26"/>
          <w:szCs w:val="26"/>
          <w:u w:color="000000"/>
          <w:bdr w:val="nil"/>
        </w:rPr>
        <w:t xml:space="preserve">. </w:t>
      </w:r>
      <w:r w:rsidR="002E7D09" w:rsidRPr="00F948AC">
        <w:rPr>
          <w:rFonts w:ascii="Calibri" w:eastAsia="Calibri" w:hAnsi="Calibri" w:cs="Calibri"/>
          <w:color w:val="000000"/>
          <w:sz w:val="26"/>
          <w:szCs w:val="26"/>
          <w:u w:color="000000"/>
          <w:bdr w:val="nil"/>
        </w:rPr>
        <w:t xml:space="preserve">Often times these methods </w:t>
      </w:r>
      <w:r w:rsidRPr="00F948AC">
        <w:rPr>
          <w:rFonts w:ascii="Calibri" w:eastAsia="Calibri" w:hAnsi="Calibri" w:cs="Calibri"/>
          <w:color w:val="000000"/>
          <w:sz w:val="26"/>
          <w:szCs w:val="26"/>
          <w:u w:color="000000"/>
          <w:bdr w:val="nil"/>
        </w:rPr>
        <w:t xml:space="preserve">are not reliable and </w:t>
      </w:r>
      <w:r w:rsidR="002E7D09" w:rsidRPr="00F948AC">
        <w:rPr>
          <w:rFonts w:ascii="Calibri" w:eastAsia="Calibri" w:hAnsi="Calibri" w:cs="Calibri"/>
          <w:color w:val="000000"/>
          <w:sz w:val="26"/>
          <w:szCs w:val="26"/>
          <w:u w:color="000000"/>
          <w:bdr w:val="nil"/>
        </w:rPr>
        <w:t>in</w:t>
      </w:r>
      <w:r w:rsidRPr="00F948AC">
        <w:rPr>
          <w:rFonts w:ascii="Calibri" w:eastAsia="Calibri" w:hAnsi="Calibri" w:cs="Calibri"/>
          <w:color w:val="000000"/>
          <w:sz w:val="26"/>
          <w:szCs w:val="26"/>
          <w:u w:color="000000"/>
          <w:bdr w:val="nil"/>
        </w:rPr>
        <w:t>consistent</w:t>
      </w:r>
      <w:r w:rsidR="00703000" w:rsidRPr="00F948AC">
        <w:rPr>
          <w:rFonts w:ascii="Calibri" w:eastAsia="Calibri" w:hAnsi="Calibri" w:cs="Calibri"/>
          <w:color w:val="000000"/>
          <w:sz w:val="26"/>
          <w:szCs w:val="26"/>
          <w:u w:color="000000"/>
          <w:bdr w:val="nil"/>
        </w:rPr>
        <w:t xml:space="preserve"> within or across studies</w:t>
      </w:r>
      <w:r w:rsidRPr="00F948AC">
        <w:rPr>
          <w:rFonts w:ascii="Calibri" w:eastAsia="Calibri" w:hAnsi="Calibri" w:cs="Calibri"/>
          <w:color w:val="000000"/>
          <w:sz w:val="26"/>
          <w:szCs w:val="26"/>
          <w:u w:color="000000"/>
          <w:bdr w:val="nil"/>
        </w:rPr>
        <w:t>.</w:t>
      </w:r>
      <w:r w:rsidR="00703000" w:rsidRPr="00F948AC">
        <w:rPr>
          <w:rFonts w:ascii="Calibri" w:eastAsia="Calibri" w:hAnsi="Calibri" w:cs="Calibri"/>
          <w:color w:val="000000"/>
          <w:sz w:val="26"/>
          <w:szCs w:val="26"/>
          <w:u w:color="000000"/>
          <w:bdr w:val="nil"/>
        </w:rPr>
        <w:t xml:space="preserve"> </w:t>
      </w:r>
      <w:r w:rsidRPr="00F948AC">
        <w:rPr>
          <w:rFonts w:ascii="Calibri" w:eastAsia="Calibri" w:hAnsi="Calibri" w:cs="Calibri"/>
          <w:color w:val="000000"/>
          <w:sz w:val="26"/>
          <w:szCs w:val="26"/>
          <w:u w:color="000000"/>
          <w:bdr w:val="nil"/>
        </w:rPr>
        <w:t xml:space="preserve"> </w:t>
      </w:r>
      <w:r w:rsidR="00703000" w:rsidRPr="00F948AC">
        <w:rPr>
          <w:rFonts w:ascii="Calibri" w:eastAsia="Calibri" w:hAnsi="Calibri" w:cs="Calibri"/>
          <w:color w:val="000000"/>
          <w:sz w:val="26"/>
          <w:szCs w:val="26"/>
          <w:u w:color="000000"/>
          <w:bdr w:val="nil"/>
        </w:rPr>
        <w:t>The FDA requisite of submitting Base Pathological Terms, Severity and modifiers</w:t>
      </w:r>
      <w:r w:rsidR="00244EB2" w:rsidRPr="00F948AC">
        <w:rPr>
          <w:rFonts w:ascii="Calibri" w:eastAsia="Calibri" w:hAnsi="Calibri" w:cs="Calibri"/>
          <w:color w:val="000000"/>
          <w:sz w:val="26"/>
          <w:szCs w:val="26"/>
          <w:u w:color="000000"/>
          <w:bdr w:val="nil"/>
        </w:rPr>
        <w:t xml:space="preserve"> along with ORRES</w:t>
      </w:r>
      <w:r w:rsidR="00703000" w:rsidRPr="00F948AC">
        <w:rPr>
          <w:rFonts w:ascii="Calibri" w:eastAsia="Calibri" w:hAnsi="Calibri" w:cs="Calibri"/>
          <w:color w:val="000000"/>
          <w:sz w:val="26"/>
          <w:szCs w:val="26"/>
          <w:u w:color="000000"/>
          <w:bdr w:val="nil"/>
        </w:rPr>
        <w:t xml:space="preserve"> aids</w:t>
      </w:r>
      <w:r w:rsidRPr="00F948AC">
        <w:rPr>
          <w:rFonts w:ascii="Calibri" w:eastAsia="Calibri" w:hAnsi="Calibri" w:cs="Calibri"/>
          <w:color w:val="000000"/>
          <w:sz w:val="26"/>
          <w:szCs w:val="26"/>
          <w:u w:color="000000"/>
          <w:bdr w:val="nil"/>
        </w:rPr>
        <w:t xml:space="preserve"> </w:t>
      </w:r>
      <w:r w:rsidR="00703000" w:rsidRPr="00F948AC">
        <w:rPr>
          <w:rFonts w:ascii="Calibri" w:eastAsia="Calibri" w:hAnsi="Calibri" w:cs="Calibri"/>
          <w:color w:val="000000"/>
          <w:sz w:val="26"/>
          <w:szCs w:val="26"/>
          <w:u w:color="000000"/>
          <w:bdr w:val="nil"/>
        </w:rPr>
        <w:t>dynamic way of performing incidence count at different levels</w:t>
      </w:r>
      <w:r w:rsidR="00244EB2" w:rsidRPr="00F948AC">
        <w:rPr>
          <w:rFonts w:ascii="Calibri" w:eastAsia="Calibri" w:hAnsi="Calibri" w:cs="Calibri"/>
          <w:color w:val="000000"/>
          <w:sz w:val="26"/>
          <w:szCs w:val="26"/>
          <w:u w:color="000000"/>
          <w:bdr w:val="nil"/>
        </w:rPr>
        <w:t xml:space="preserve">. As certain base pathological terms appear in more than an organ, </w:t>
      </w:r>
      <w:r w:rsidR="002E7D09" w:rsidRPr="00F948AC">
        <w:rPr>
          <w:rFonts w:ascii="Calibri" w:eastAsia="Calibri" w:hAnsi="Calibri" w:cs="Calibri"/>
          <w:color w:val="000000"/>
          <w:sz w:val="26"/>
          <w:szCs w:val="26"/>
          <w:u w:color="000000"/>
          <w:bdr w:val="nil"/>
        </w:rPr>
        <w:t xml:space="preserve">the </w:t>
      </w:r>
      <w:r w:rsidR="00244EB2" w:rsidRPr="00F948AC">
        <w:rPr>
          <w:rFonts w:ascii="Calibri" w:eastAsia="Calibri" w:hAnsi="Calibri" w:cs="Calibri"/>
          <w:color w:val="000000"/>
          <w:sz w:val="26"/>
          <w:szCs w:val="26"/>
          <w:u w:color="000000"/>
          <w:bdr w:val="nil"/>
        </w:rPr>
        <w:t xml:space="preserve">toxicity pattern of a drug in </w:t>
      </w:r>
      <w:r w:rsidR="00E41E49" w:rsidRPr="00F948AC">
        <w:rPr>
          <w:rFonts w:ascii="Calibri" w:eastAsia="Calibri" w:hAnsi="Calibri" w:cs="Calibri"/>
          <w:color w:val="000000"/>
          <w:sz w:val="26"/>
          <w:szCs w:val="26"/>
          <w:u w:color="000000"/>
          <w:bdr w:val="nil"/>
        </w:rPr>
        <w:t xml:space="preserve">one or </w:t>
      </w:r>
      <w:r w:rsidR="00244EB2" w:rsidRPr="00F948AC">
        <w:rPr>
          <w:rFonts w:ascii="Calibri" w:eastAsia="Calibri" w:hAnsi="Calibri" w:cs="Calibri"/>
          <w:color w:val="000000"/>
          <w:sz w:val="26"/>
          <w:szCs w:val="26"/>
          <w:u w:color="000000"/>
          <w:bdr w:val="nil"/>
        </w:rPr>
        <w:t>more targets organs will be exposed out easily</w:t>
      </w:r>
      <w:r w:rsidR="00E41E49" w:rsidRPr="00F948AC">
        <w:rPr>
          <w:rFonts w:ascii="Calibri" w:eastAsia="Calibri" w:hAnsi="Calibri" w:cs="Calibri"/>
          <w:color w:val="000000"/>
          <w:sz w:val="26"/>
          <w:szCs w:val="26"/>
          <w:u w:color="000000"/>
          <w:bdr w:val="nil"/>
        </w:rPr>
        <w:t xml:space="preserve"> when taking Base terms </w:t>
      </w:r>
      <w:r w:rsidR="00BF3E38" w:rsidRPr="00F948AC">
        <w:rPr>
          <w:rFonts w:ascii="Calibri" w:eastAsia="Calibri" w:hAnsi="Calibri" w:cs="Calibri"/>
          <w:color w:val="000000"/>
          <w:sz w:val="26"/>
          <w:szCs w:val="26"/>
          <w:u w:color="000000"/>
          <w:bdr w:val="nil"/>
        </w:rPr>
        <w:t>separately</w:t>
      </w:r>
      <w:r w:rsidR="00E41E49" w:rsidRPr="00F948AC">
        <w:rPr>
          <w:rFonts w:ascii="Calibri" w:eastAsia="Calibri" w:hAnsi="Calibri" w:cs="Calibri"/>
          <w:color w:val="000000"/>
          <w:sz w:val="26"/>
          <w:szCs w:val="26"/>
          <w:u w:color="000000"/>
          <w:bdr w:val="nil"/>
        </w:rPr>
        <w:t xml:space="preserve"> </w:t>
      </w:r>
      <w:r w:rsidR="002E7D09" w:rsidRPr="00F948AC">
        <w:rPr>
          <w:rFonts w:ascii="Calibri" w:eastAsia="Calibri" w:hAnsi="Calibri" w:cs="Calibri"/>
          <w:color w:val="000000"/>
          <w:sz w:val="26"/>
          <w:szCs w:val="26"/>
          <w:u w:color="000000"/>
          <w:bdr w:val="nil"/>
        </w:rPr>
        <w:t xml:space="preserve">along with severity </w:t>
      </w:r>
      <w:r w:rsidR="00E41E49" w:rsidRPr="00F948AC">
        <w:rPr>
          <w:rFonts w:ascii="Calibri" w:eastAsia="Calibri" w:hAnsi="Calibri" w:cs="Calibri"/>
          <w:color w:val="000000"/>
          <w:sz w:val="26"/>
          <w:szCs w:val="26"/>
          <w:u w:color="000000"/>
          <w:bdr w:val="nil"/>
        </w:rPr>
        <w:t>for</w:t>
      </w:r>
      <w:r w:rsidR="00244EB2" w:rsidRPr="00F948AC">
        <w:rPr>
          <w:rFonts w:ascii="Calibri" w:eastAsia="Calibri" w:hAnsi="Calibri" w:cs="Calibri"/>
          <w:color w:val="000000"/>
          <w:sz w:val="26"/>
          <w:szCs w:val="26"/>
          <w:u w:color="000000"/>
          <w:bdr w:val="nil"/>
        </w:rPr>
        <w:t xml:space="preserve"> group summary</w:t>
      </w:r>
      <w:r w:rsidR="00E41E49" w:rsidRPr="00F948AC">
        <w:rPr>
          <w:rFonts w:ascii="Calibri" w:eastAsia="Calibri" w:hAnsi="Calibri" w:cs="Calibri"/>
          <w:color w:val="000000"/>
          <w:sz w:val="26"/>
          <w:szCs w:val="26"/>
          <w:u w:color="000000"/>
          <w:bdr w:val="nil"/>
        </w:rPr>
        <w:t xml:space="preserve"> incidence</w:t>
      </w:r>
      <w:r w:rsidR="00BF3E38" w:rsidRPr="00F948AC">
        <w:rPr>
          <w:rFonts w:ascii="Calibri" w:eastAsia="Calibri" w:hAnsi="Calibri" w:cs="Calibri"/>
          <w:color w:val="000000"/>
          <w:sz w:val="26"/>
          <w:szCs w:val="26"/>
          <w:u w:color="000000"/>
          <w:bdr w:val="nil"/>
        </w:rPr>
        <w:t xml:space="preserve"> tabulation</w:t>
      </w:r>
      <w:r w:rsidR="00244EB2" w:rsidRPr="00F948AC">
        <w:rPr>
          <w:rFonts w:ascii="Calibri" w:eastAsia="Calibri" w:hAnsi="Calibri" w:cs="Calibri"/>
          <w:color w:val="000000"/>
          <w:sz w:val="26"/>
          <w:szCs w:val="26"/>
          <w:u w:color="000000"/>
          <w:bdr w:val="nil"/>
        </w:rPr>
        <w:t xml:space="preserve">. The splitting of MI/MA lesions to the granularity as expect by FDA requires </w:t>
      </w:r>
      <w:r w:rsidR="00E21015" w:rsidRPr="00F948AC">
        <w:rPr>
          <w:rFonts w:ascii="Calibri" w:eastAsia="Calibri" w:hAnsi="Calibri" w:cs="Calibri"/>
          <w:color w:val="000000"/>
          <w:sz w:val="26"/>
          <w:szCs w:val="26"/>
          <w:u w:color="000000"/>
          <w:bdr w:val="nil"/>
        </w:rPr>
        <w:t xml:space="preserve">very </w:t>
      </w:r>
      <w:r w:rsidR="00E41E49" w:rsidRPr="00F948AC">
        <w:rPr>
          <w:rFonts w:ascii="Calibri" w:eastAsia="Calibri" w:hAnsi="Calibri" w:cs="Calibri"/>
          <w:color w:val="000000"/>
          <w:sz w:val="26"/>
          <w:szCs w:val="26"/>
          <w:u w:color="000000"/>
          <w:bdr w:val="nil"/>
        </w:rPr>
        <w:t>scrupulous</w:t>
      </w:r>
      <w:r w:rsidR="00244EB2" w:rsidRPr="00F948AC">
        <w:rPr>
          <w:rFonts w:ascii="Calibri" w:eastAsia="Calibri" w:hAnsi="Calibri" w:cs="Calibri"/>
          <w:color w:val="000000"/>
          <w:sz w:val="26"/>
          <w:szCs w:val="26"/>
          <w:u w:color="000000"/>
          <w:bdr w:val="nil"/>
        </w:rPr>
        <w:t xml:space="preserve"> attention</w:t>
      </w:r>
      <w:r w:rsidR="00E21015" w:rsidRPr="00F948AC">
        <w:rPr>
          <w:rFonts w:ascii="Calibri" w:eastAsia="Calibri" w:hAnsi="Calibri" w:cs="Calibri"/>
          <w:color w:val="000000"/>
          <w:sz w:val="26"/>
          <w:szCs w:val="26"/>
          <w:u w:color="000000"/>
          <w:bdr w:val="nil"/>
        </w:rPr>
        <w:t xml:space="preserve"> as </w:t>
      </w:r>
      <w:r w:rsidR="00E41E49" w:rsidRPr="00F948AC">
        <w:rPr>
          <w:rFonts w:ascii="Calibri" w:eastAsia="Calibri" w:hAnsi="Calibri" w:cs="Calibri"/>
          <w:color w:val="000000"/>
          <w:sz w:val="26"/>
          <w:szCs w:val="26"/>
          <w:u w:color="000000"/>
          <w:bdr w:val="nil"/>
        </w:rPr>
        <w:t xml:space="preserve">it may easily compromise the ability to detect a test-article effect or </w:t>
      </w:r>
      <w:r w:rsidR="00D523BC">
        <w:rPr>
          <w:rFonts w:ascii="Calibri" w:eastAsia="Calibri" w:hAnsi="Calibri" w:cs="Calibri"/>
          <w:color w:val="000000"/>
          <w:sz w:val="26"/>
          <w:szCs w:val="26"/>
          <w:u w:color="000000"/>
          <w:bdr w:val="nil"/>
        </w:rPr>
        <w:t xml:space="preserve">may </w:t>
      </w:r>
      <w:r w:rsidR="00E41E49" w:rsidRPr="00F948AC">
        <w:rPr>
          <w:rFonts w:ascii="Calibri" w:eastAsia="Calibri" w:hAnsi="Calibri" w:cs="Calibri"/>
          <w:color w:val="000000"/>
          <w:sz w:val="26"/>
          <w:szCs w:val="26"/>
          <w:u w:color="000000"/>
          <w:bdr w:val="nil"/>
        </w:rPr>
        <w:t>lead to the appearance of a test-article effect when none is actually present.</w:t>
      </w:r>
    </w:p>
    <w:p w14:paraId="429A686E" w14:textId="77777777" w:rsidR="001C6C86" w:rsidRPr="00F948AC" w:rsidRDefault="001C6C86" w:rsidP="00FA045D">
      <w:pPr>
        <w:jc w:val="both"/>
        <w:rPr>
          <w:rFonts w:ascii="Calibri" w:eastAsia="Calibri" w:hAnsi="Calibri" w:cs="Calibri"/>
          <w:color w:val="000000"/>
          <w:sz w:val="26"/>
          <w:szCs w:val="26"/>
          <w:u w:color="000000"/>
          <w:bdr w:val="nil"/>
        </w:rPr>
      </w:pPr>
      <w:r w:rsidRPr="00F948AC">
        <w:rPr>
          <w:rFonts w:ascii="Calibri" w:eastAsia="Calibri" w:hAnsi="Calibri" w:cs="Calibri"/>
          <w:color w:val="000000"/>
          <w:sz w:val="26"/>
          <w:szCs w:val="26"/>
          <w:u w:color="000000"/>
          <w:bdr w:val="nil"/>
        </w:rPr>
        <w:t>Below is the illustration of FDA requirement of submitting Microscopic pathological Findings</w:t>
      </w:r>
    </w:p>
    <w:p w14:paraId="31C2AFA7" w14:textId="5F8F4AA7" w:rsidR="00E41E49" w:rsidRPr="00F948AC" w:rsidRDefault="00165D8E" w:rsidP="00113478">
      <w:pPr>
        <w:jc w:val="center"/>
        <w:rPr>
          <w:rFonts w:ascii="Calibri" w:eastAsia="Calibri" w:hAnsi="Calibri" w:cs="Calibri"/>
          <w:i/>
          <w:iCs/>
          <w:color w:val="000000"/>
          <w:sz w:val="26"/>
          <w:szCs w:val="26"/>
          <w:u w:color="000000"/>
          <w:bdr w:val="nil"/>
        </w:rPr>
      </w:pPr>
      <w:r w:rsidRPr="009757BD">
        <w:rPr>
          <w:rFonts w:ascii="Calibri" w:eastAsia="Calibri" w:hAnsi="Calibri" w:cs="Calibri"/>
          <w:noProof/>
          <w:color w:val="000000"/>
          <w:sz w:val="26"/>
          <w:szCs w:val="26"/>
          <w:u w:color="000000"/>
          <w:bdr w:val="nil"/>
        </w:rPr>
        <w:drawing>
          <wp:inline distT="0" distB="0" distL="0" distR="0" wp14:anchorId="0B116AC1" wp14:editId="37773E65">
            <wp:extent cx="5429250" cy="3567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3567295"/>
                    </a:xfrm>
                    <a:prstGeom prst="rect">
                      <a:avLst/>
                    </a:prstGeom>
                    <a:noFill/>
                    <a:ln>
                      <a:noFill/>
                    </a:ln>
                  </pic:spPr>
                </pic:pic>
              </a:graphicData>
            </a:graphic>
          </wp:inline>
        </w:drawing>
      </w:r>
      <w:r w:rsidR="00E41E49" w:rsidRPr="00F948AC">
        <w:rPr>
          <w:rFonts w:ascii="Calibri" w:eastAsia="Calibri" w:hAnsi="Calibri" w:cs="Calibri"/>
          <w:i/>
          <w:iCs/>
          <w:color w:val="000000"/>
          <w:sz w:val="26"/>
          <w:szCs w:val="26"/>
          <w:u w:color="000000"/>
          <w:bdr w:val="nil"/>
        </w:rPr>
        <w:t>Illustration of MI/MA/CL Split Process and Mapping to SEND variables</w:t>
      </w:r>
    </w:p>
    <w:p w14:paraId="14D976E2" w14:textId="77777777" w:rsidR="003A1472" w:rsidRPr="00F948AC" w:rsidRDefault="00954F6D" w:rsidP="00113478">
      <w:pPr>
        <w:jc w:val="center"/>
        <w:rPr>
          <w:rFonts w:ascii="Calibri" w:eastAsia="Calibri" w:hAnsi="Calibri" w:cs="Calibri"/>
          <w:color w:val="000000"/>
          <w:sz w:val="26"/>
          <w:szCs w:val="26"/>
          <w:u w:color="000000"/>
          <w:bdr w:val="nil"/>
        </w:rPr>
      </w:pPr>
      <w:r w:rsidRPr="00F948AC">
        <w:rPr>
          <w:rFonts w:ascii="Calibri" w:eastAsia="Calibri" w:hAnsi="Calibri" w:cs="Calibri"/>
          <w:noProof/>
          <w:color w:val="000000"/>
          <w:sz w:val="26"/>
          <w:szCs w:val="26"/>
          <w:u w:color="000000"/>
          <w:bdr w:val="nil"/>
        </w:rPr>
        <w:lastRenderedPageBreak/>
        <w:drawing>
          <wp:inline distT="0" distB="0" distL="0" distR="0" wp14:anchorId="068EB02B" wp14:editId="2B092249">
            <wp:extent cx="5943600" cy="1769220"/>
            <wp:effectExtent l="0" t="0" r="0" b="254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769220"/>
                    </a:xfrm>
                    <a:prstGeom prst="rect">
                      <a:avLst/>
                    </a:prstGeom>
                    <a:noFill/>
                  </pic:spPr>
                </pic:pic>
              </a:graphicData>
            </a:graphic>
          </wp:inline>
        </w:drawing>
      </w:r>
    </w:p>
    <w:p w14:paraId="75B26E13" w14:textId="77777777" w:rsidR="00E21015" w:rsidRPr="00F948AC" w:rsidRDefault="00E21015" w:rsidP="009A4357">
      <w:pPr>
        <w:rPr>
          <w:rFonts w:ascii="Calibri" w:eastAsia="Calibri" w:hAnsi="Calibri" w:cs="Calibri"/>
          <w:color w:val="000000"/>
          <w:sz w:val="26"/>
          <w:szCs w:val="26"/>
          <w:u w:color="000000"/>
          <w:bdr w:val="nil"/>
        </w:rPr>
      </w:pPr>
    </w:p>
    <w:p w14:paraId="5935D506" w14:textId="0334A277" w:rsidR="006F4E00" w:rsidRPr="00F948AC" w:rsidRDefault="008F6E3F" w:rsidP="00FA045D">
      <w:pPr>
        <w:jc w:val="both"/>
        <w:rPr>
          <w:rFonts w:ascii="Calibri" w:eastAsia="Calibri" w:hAnsi="Calibri" w:cs="Calibri"/>
          <w:color w:val="000000"/>
          <w:sz w:val="26"/>
          <w:szCs w:val="26"/>
          <w:u w:color="000000"/>
          <w:bdr w:val="nil"/>
        </w:rPr>
      </w:pPr>
      <w:r w:rsidRPr="00F948AC">
        <w:rPr>
          <w:rFonts w:ascii="Calibri" w:eastAsia="Calibri" w:hAnsi="Calibri" w:cs="Calibri"/>
          <w:color w:val="000000"/>
          <w:sz w:val="26"/>
          <w:szCs w:val="26"/>
          <w:u w:color="000000"/>
          <w:bdr w:val="nil"/>
        </w:rPr>
        <w:t xml:space="preserve">A 1-month typical Toxicity study can easily </w:t>
      </w:r>
      <w:r w:rsidR="002E7D09" w:rsidRPr="00F948AC">
        <w:rPr>
          <w:rFonts w:ascii="Calibri" w:eastAsia="Calibri" w:hAnsi="Calibri" w:cs="Calibri"/>
          <w:color w:val="000000"/>
          <w:sz w:val="26"/>
          <w:szCs w:val="26"/>
          <w:u w:color="000000"/>
          <w:bdr w:val="nil"/>
        </w:rPr>
        <w:t>comprise</w:t>
      </w:r>
      <w:r w:rsidR="009757BD">
        <w:rPr>
          <w:rFonts w:ascii="Calibri" w:eastAsia="Calibri" w:hAnsi="Calibri" w:cs="Calibri"/>
          <w:color w:val="000000"/>
          <w:sz w:val="26"/>
          <w:szCs w:val="26"/>
          <w:u w:color="000000"/>
          <w:bdr w:val="nil"/>
        </w:rPr>
        <w:t xml:space="preserve"> of approximately </w:t>
      </w:r>
      <w:r w:rsidR="006914A8" w:rsidRPr="009757BD">
        <w:rPr>
          <w:rFonts w:ascii="Calibri" w:eastAsia="Calibri" w:hAnsi="Calibri" w:cs="Calibri"/>
          <w:color w:val="000000" w:themeColor="text1"/>
          <w:sz w:val="26"/>
          <w:szCs w:val="26"/>
          <w:u w:color="000000"/>
          <w:bdr w:val="nil"/>
        </w:rPr>
        <w:t>25-75</w:t>
      </w:r>
      <w:r w:rsidRPr="00F948AC">
        <w:rPr>
          <w:rFonts w:ascii="Calibri" w:eastAsia="Calibri" w:hAnsi="Calibri" w:cs="Calibri"/>
          <w:color w:val="000000"/>
          <w:sz w:val="26"/>
          <w:szCs w:val="26"/>
          <w:u w:color="000000"/>
          <w:bdr w:val="nil"/>
        </w:rPr>
        <w:t xml:space="preserve"> unique MI Findings. </w:t>
      </w:r>
      <w:r w:rsidR="00954F6D" w:rsidRPr="00F948AC">
        <w:rPr>
          <w:rFonts w:ascii="Calibri" w:eastAsia="Calibri" w:hAnsi="Calibri" w:cs="Calibri"/>
          <w:color w:val="000000"/>
          <w:sz w:val="26"/>
          <w:szCs w:val="26"/>
          <w:u w:color="000000"/>
          <w:bdr w:val="nil"/>
        </w:rPr>
        <w:t xml:space="preserve">And </w:t>
      </w:r>
      <w:r w:rsidR="00956B80" w:rsidRPr="00F948AC">
        <w:rPr>
          <w:rFonts w:ascii="Calibri" w:eastAsia="Calibri" w:hAnsi="Calibri" w:cs="Calibri"/>
          <w:color w:val="000000"/>
          <w:sz w:val="26"/>
          <w:szCs w:val="26"/>
          <w:u w:color="000000"/>
          <w:bdr w:val="nil"/>
        </w:rPr>
        <w:t>a</w:t>
      </w:r>
      <w:r w:rsidR="00954F6D" w:rsidRPr="00F948AC">
        <w:rPr>
          <w:rFonts w:ascii="Calibri" w:eastAsia="Calibri" w:hAnsi="Calibri" w:cs="Calibri"/>
          <w:color w:val="000000"/>
          <w:sz w:val="26"/>
          <w:szCs w:val="26"/>
          <w:u w:color="000000"/>
          <w:bdr w:val="nil"/>
        </w:rPr>
        <w:t>t times</w:t>
      </w:r>
      <w:r w:rsidR="00195242" w:rsidRPr="00F948AC">
        <w:rPr>
          <w:rFonts w:ascii="Calibri" w:eastAsia="Calibri" w:hAnsi="Calibri" w:cs="Calibri"/>
          <w:color w:val="000000"/>
          <w:sz w:val="26"/>
          <w:szCs w:val="26"/>
          <w:u w:color="000000"/>
          <w:bdr w:val="nil"/>
        </w:rPr>
        <w:t xml:space="preserve"> organ names </w:t>
      </w:r>
      <w:r w:rsidR="00D523BC">
        <w:rPr>
          <w:rFonts w:ascii="Calibri" w:eastAsia="Calibri" w:hAnsi="Calibri" w:cs="Calibri"/>
          <w:color w:val="000000"/>
          <w:sz w:val="26"/>
          <w:szCs w:val="26"/>
          <w:u w:color="000000"/>
          <w:bdr w:val="nil"/>
        </w:rPr>
        <w:t xml:space="preserve">can </w:t>
      </w:r>
      <w:r w:rsidR="00195242" w:rsidRPr="00F948AC">
        <w:rPr>
          <w:rFonts w:ascii="Calibri" w:eastAsia="Calibri" w:hAnsi="Calibri" w:cs="Calibri"/>
          <w:color w:val="000000"/>
          <w:sz w:val="26"/>
          <w:szCs w:val="26"/>
          <w:u w:color="000000"/>
          <w:bdr w:val="nil"/>
        </w:rPr>
        <w:t>also be</w:t>
      </w:r>
      <w:r w:rsidR="00956B80" w:rsidRPr="00F948AC">
        <w:rPr>
          <w:rFonts w:ascii="Calibri" w:eastAsia="Calibri" w:hAnsi="Calibri" w:cs="Calibri"/>
          <w:color w:val="000000"/>
          <w:sz w:val="26"/>
          <w:szCs w:val="26"/>
          <w:u w:color="000000"/>
          <w:bdr w:val="nil"/>
        </w:rPr>
        <w:t xml:space="preserve"> a</w:t>
      </w:r>
      <w:r w:rsidR="00F948AC">
        <w:rPr>
          <w:rFonts w:ascii="Calibri" w:eastAsia="Calibri" w:hAnsi="Calibri" w:cs="Calibri"/>
          <w:color w:val="000000"/>
          <w:sz w:val="26"/>
          <w:szCs w:val="26"/>
          <w:u w:color="000000"/>
          <w:bdr w:val="nil"/>
        </w:rPr>
        <w:t xml:space="preserve"> part of </w:t>
      </w:r>
      <w:r w:rsidR="00195242" w:rsidRPr="00F948AC">
        <w:rPr>
          <w:rFonts w:ascii="Calibri" w:eastAsia="Calibri" w:hAnsi="Calibri" w:cs="Calibri"/>
          <w:color w:val="000000"/>
          <w:sz w:val="26"/>
          <w:szCs w:val="26"/>
          <w:u w:color="000000"/>
          <w:bdr w:val="nil"/>
        </w:rPr>
        <w:t xml:space="preserve">ORRES that further compound the </w:t>
      </w:r>
      <w:r w:rsidR="00956B80" w:rsidRPr="00F948AC">
        <w:rPr>
          <w:rFonts w:ascii="Calibri" w:eastAsia="Calibri" w:hAnsi="Calibri" w:cs="Calibri"/>
          <w:color w:val="000000"/>
          <w:sz w:val="26"/>
          <w:szCs w:val="26"/>
          <w:u w:color="000000"/>
          <w:bdr w:val="nil"/>
        </w:rPr>
        <w:t>problem of segregating and assorting into different SEND variables</w:t>
      </w:r>
      <w:r w:rsidR="008720A6" w:rsidRPr="00F948AC">
        <w:rPr>
          <w:rFonts w:ascii="Calibri" w:eastAsia="Calibri" w:hAnsi="Calibri" w:cs="Calibri"/>
          <w:color w:val="000000"/>
          <w:sz w:val="26"/>
          <w:szCs w:val="26"/>
          <w:u w:color="000000"/>
          <w:bdr w:val="nil"/>
        </w:rPr>
        <w:t>.</w:t>
      </w:r>
      <w:r w:rsidR="00956B80" w:rsidRPr="00F948AC">
        <w:rPr>
          <w:rFonts w:ascii="Calibri" w:eastAsia="Calibri" w:hAnsi="Calibri" w:cs="Calibri"/>
          <w:color w:val="000000"/>
          <w:sz w:val="26"/>
          <w:szCs w:val="26"/>
          <w:u w:color="000000"/>
          <w:bdr w:val="nil"/>
        </w:rPr>
        <w:t xml:space="preserve"> </w:t>
      </w:r>
    </w:p>
    <w:p w14:paraId="013A266B" w14:textId="77777777" w:rsidR="008720A6" w:rsidRPr="00353EBA" w:rsidRDefault="008F6E3F" w:rsidP="006F4E00">
      <w:pPr>
        <w:rPr>
          <w:rStyle w:val="IntenseEmphasis"/>
          <w:sz w:val="26"/>
          <w:szCs w:val="26"/>
        </w:rPr>
      </w:pPr>
      <w:r w:rsidRPr="00353EBA">
        <w:rPr>
          <w:rStyle w:val="IntenseEmphasis"/>
          <w:sz w:val="26"/>
          <w:szCs w:val="26"/>
        </w:rPr>
        <w:t>Disparate granularity</w:t>
      </w:r>
      <w:r w:rsidR="008720A6" w:rsidRPr="00353EBA">
        <w:rPr>
          <w:rStyle w:val="IntenseEmphasis"/>
          <w:sz w:val="26"/>
          <w:szCs w:val="26"/>
        </w:rPr>
        <w:t xml:space="preserve"> of Study/Trial Design representation </w:t>
      </w:r>
      <w:r w:rsidRPr="00353EBA">
        <w:rPr>
          <w:rStyle w:val="IntenseEmphasis"/>
          <w:sz w:val="26"/>
          <w:szCs w:val="26"/>
        </w:rPr>
        <w:t>in Study Report versus</w:t>
      </w:r>
      <w:r w:rsidR="008720A6" w:rsidRPr="00353EBA">
        <w:rPr>
          <w:rStyle w:val="IntenseEmphasis"/>
          <w:sz w:val="26"/>
          <w:szCs w:val="26"/>
        </w:rPr>
        <w:t xml:space="preserve"> SEND datasets </w:t>
      </w:r>
    </w:p>
    <w:p w14:paraId="2EE0852E" w14:textId="77777777" w:rsidR="00293238" w:rsidRDefault="00A60BA5" w:rsidP="00FA045D">
      <w:pPr>
        <w:jc w:val="both"/>
        <w:rPr>
          <w:rStyle w:val="IntenseEmphasis"/>
          <w:i w:val="0"/>
          <w:color w:val="000000" w:themeColor="text1"/>
          <w:sz w:val="26"/>
          <w:szCs w:val="26"/>
        </w:rPr>
      </w:pPr>
      <w:r w:rsidRPr="00F948AC">
        <w:rPr>
          <w:rStyle w:val="IntenseEmphasis"/>
          <w:i w:val="0"/>
          <w:color w:val="000000" w:themeColor="text1"/>
          <w:sz w:val="26"/>
          <w:szCs w:val="26"/>
        </w:rPr>
        <w:t xml:space="preserve">Below is the illustration of Study Design from PDF Reports and Trial Design domains as required by FDA. </w:t>
      </w:r>
      <w:r w:rsidR="00F6608E" w:rsidRPr="00F948AC">
        <w:rPr>
          <w:rStyle w:val="IntenseEmphasis"/>
          <w:i w:val="0"/>
          <w:color w:val="000000" w:themeColor="text1"/>
          <w:sz w:val="26"/>
          <w:szCs w:val="26"/>
        </w:rPr>
        <w:t xml:space="preserve">The terminologies used and framework of representation of study design </w:t>
      </w:r>
      <w:r w:rsidR="00E3707B" w:rsidRPr="00F948AC">
        <w:rPr>
          <w:rStyle w:val="IntenseEmphasis"/>
          <w:i w:val="0"/>
          <w:color w:val="000000" w:themeColor="text1"/>
          <w:sz w:val="26"/>
          <w:szCs w:val="26"/>
        </w:rPr>
        <w:t xml:space="preserve">at the </w:t>
      </w:r>
      <w:r w:rsidR="007618A3" w:rsidRPr="00F948AC">
        <w:rPr>
          <w:rStyle w:val="IntenseEmphasis"/>
          <w:i w:val="0"/>
          <w:color w:val="000000" w:themeColor="text1"/>
          <w:sz w:val="26"/>
          <w:szCs w:val="26"/>
        </w:rPr>
        <w:t xml:space="preserve">sponsor </w:t>
      </w:r>
      <w:r w:rsidR="00E3707B" w:rsidRPr="00F948AC">
        <w:rPr>
          <w:rStyle w:val="IntenseEmphasis"/>
          <w:i w:val="0"/>
          <w:color w:val="000000" w:themeColor="text1"/>
          <w:sz w:val="26"/>
          <w:szCs w:val="26"/>
        </w:rPr>
        <w:t xml:space="preserve">dose group </w:t>
      </w:r>
      <w:r w:rsidR="007618A3" w:rsidRPr="00F948AC">
        <w:rPr>
          <w:rStyle w:val="IntenseEmphasis"/>
          <w:i w:val="0"/>
          <w:color w:val="000000" w:themeColor="text1"/>
          <w:sz w:val="26"/>
          <w:szCs w:val="26"/>
        </w:rPr>
        <w:t xml:space="preserve">level </w:t>
      </w:r>
      <w:r w:rsidR="00E3707B" w:rsidRPr="00F948AC">
        <w:rPr>
          <w:rStyle w:val="IntenseEmphasis"/>
          <w:i w:val="0"/>
          <w:color w:val="000000" w:themeColor="text1"/>
          <w:sz w:val="26"/>
          <w:szCs w:val="26"/>
        </w:rPr>
        <w:t xml:space="preserve">in </w:t>
      </w:r>
      <w:r w:rsidR="009976F7" w:rsidRPr="00F948AC">
        <w:rPr>
          <w:rStyle w:val="IntenseEmphasis"/>
          <w:i w:val="0"/>
          <w:color w:val="000000" w:themeColor="text1"/>
          <w:sz w:val="26"/>
          <w:szCs w:val="26"/>
        </w:rPr>
        <w:t xml:space="preserve">PDF </w:t>
      </w:r>
      <w:r w:rsidR="00E3707B" w:rsidRPr="00F948AC">
        <w:rPr>
          <w:rStyle w:val="IntenseEmphasis"/>
          <w:i w:val="0"/>
          <w:color w:val="000000" w:themeColor="text1"/>
          <w:sz w:val="26"/>
          <w:szCs w:val="26"/>
        </w:rPr>
        <w:t>report is distinctive from Trial design representation in SEND datasets</w:t>
      </w:r>
      <w:r w:rsidR="0048494E" w:rsidRPr="00F948AC">
        <w:rPr>
          <w:rStyle w:val="IntenseEmphasis"/>
          <w:i w:val="0"/>
          <w:color w:val="000000" w:themeColor="text1"/>
          <w:sz w:val="26"/>
          <w:szCs w:val="26"/>
        </w:rPr>
        <w:t>.</w:t>
      </w:r>
      <w:r w:rsidR="00E3707B" w:rsidRPr="00F948AC">
        <w:rPr>
          <w:rStyle w:val="IntenseEmphasis"/>
          <w:i w:val="0"/>
          <w:color w:val="000000" w:themeColor="text1"/>
          <w:sz w:val="26"/>
          <w:szCs w:val="26"/>
        </w:rPr>
        <w:t xml:space="preserve"> </w:t>
      </w:r>
    </w:p>
    <w:p w14:paraId="7661F2ED" w14:textId="77777777" w:rsidR="00E547B1" w:rsidRPr="00F948AC" w:rsidRDefault="00E547B1" w:rsidP="006F4E00">
      <w:pPr>
        <w:rPr>
          <w:rStyle w:val="IntenseEmphasis"/>
          <w:i w:val="0"/>
          <w:sz w:val="26"/>
          <w:szCs w:val="26"/>
        </w:rPr>
      </w:pPr>
    </w:p>
    <w:p w14:paraId="26B162CD" w14:textId="77777777" w:rsidR="008F6E3F" w:rsidRPr="00F948AC" w:rsidRDefault="001C6C86" w:rsidP="006F4E00">
      <w:pPr>
        <w:rPr>
          <w:rStyle w:val="IntenseEmphasis"/>
          <w:i w:val="0"/>
          <w:sz w:val="26"/>
          <w:szCs w:val="26"/>
        </w:rPr>
      </w:pPr>
      <w:r w:rsidRPr="00F948AC">
        <w:rPr>
          <w:noProof/>
          <w:sz w:val="26"/>
          <w:szCs w:val="26"/>
        </w:rPr>
        <w:drawing>
          <wp:inline distT="0" distB="0" distL="0" distR="0" wp14:anchorId="18751AFF" wp14:editId="5F995F42">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1370"/>
                    </a:xfrm>
                    <a:prstGeom prst="rect">
                      <a:avLst/>
                    </a:prstGeom>
                  </pic:spPr>
                </pic:pic>
              </a:graphicData>
            </a:graphic>
          </wp:inline>
        </w:drawing>
      </w:r>
    </w:p>
    <w:p w14:paraId="7E281588" w14:textId="77777777" w:rsidR="00D516D4" w:rsidRPr="00F948AC" w:rsidRDefault="00D516D4" w:rsidP="006F4E00">
      <w:pPr>
        <w:rPr>
          <w:rStyle w:val="IntenseEmphasis"/>
          <w:i w:val="0"/>
          <w:sz w:val="26"/>
          <w:szCs w:val="26"/>
        </w:rPr>
      </w:pPr>
    </w:p>
    <w:p w14:paraId="62CEF20C" w14:textId="77777777" w:rsidR="007873D1" w:rsidRPr="00F948AC" w:rsidRDefault="0048494E" w:rsidP="00FA045D">
      <w:pPr>
        <w:jc w:val="both"/>
        <w:rPr>
          <w:sz w:val="26"/>
          <w:szCs w:val="26"/>
        </w:rPr>
      </w:pPr>
      <w:r w:rsidRPr="00F948AC">
        <w:rPr>
          <w:sz w:val="26"/>
          <w:szCs w:val="26"/>
        </w:rPr>
        <w:t xml:space="preserve">The increased granularity of Trial Design domains </w:t>
      </w:r>
      <w:r w:rsidR="00CD24E4">
        <w:rPr>
          <w:sz w:val="26"/>
          <w:szCs w:val="26"/>
        </w:rPr>
        <w:t xml:space="preserve">in SEND datasets </w:t>
      </w:r>
      <w:r w:rsidR="00353EBA">
        <w:rPr>
          <w:sz w:val="26"/>
          <w:szCs w:val="26"/>
        </w:rPr>
        <w:t>pose the issue of mapping</w:t>
      </w:r>
      <w:r w:rsidR="00CD24E4">
        <w:rPr>
          <w:sz w:val="26"/>
          <w:szCs w:val="26"/>
        </w:rPr>
        <w:t xml:space="preserve"> </w:t>
      </w:r>
      <w:r w:rsidR="009D4A29">
        <w:rPr>
          <w:sz w:val="26"/>
          <w:szCs w:val="26"/>
        </w:rPr>
        <w:t xml:space="preserve">directly </w:t>
      </w:r>
      <w:r w:rsidR="00CD24E4">
        <w:rPr>
          <w:sz w:val="26"/>
          <w:szCs w:val="26"/>
        </w:rPr>
        <w:t>to the</w:t>
      </w:r>
      <w:r w:rsidR="00CD24E4" w:rsidRPr="00CD24E4">
        <w:rPr>
          <w:sz w:val="26"/>
          <w:szCs w:val="26"/>
        </w:rPr>
        <w:t xml:space="preserve"> Sponsor Defined Dose Groupings in the Study Report</w:t>
      </w:r>
      <w:r w:rsidR="009D4A29">
        <w:rPr>
          <w:sz w:val="26"/>
          <w:szCs w:val="26"/>
        </w:rPr>
        <w:t>. This potentially introduce inconsistencies of SEND datasets with Study Reports. This results</w:t>
      </w:r>
      <w:r w:rsidR="009D4A29" w:rsidRPr="009D4A29">
        <w:rPr>
          <w:sz w:val="26"/>
          <w:szCs w:val="26"/>
        </w:rPr>
        <w:t xml:space="preserve"> in differences in incidence counts</w:t>
      </w:r>
      <w:r w:rsidR="009D4A29">
        <w:rPr>
          <w:sz w:val="26"/>
          <w:szCs w:val="26"/>
        </w:rPr>
        <w:t xml:space="preserve"> and group mean</w:t>
      </w:r>
      <w:r w:rsidR="009D4A29" w:rsidRPr="009D4A29">
        <w:rPr>
          <w:sz w:val="26"/>
          <w:szCs w:val="26"/>
        </w:rPr>
        <w:t xml:space="preserve"> </w:t>
      </w:r>
      <w:r w:rsidR="009D4A29">
        <w:rPr>
          <w:sz w:val="26"/>
          <w:szCs w:val="26"/>
        </w:rPr>
        <w:t xml:space="preserve">data </w:t>
      </w:r>
      <w:r w:rsidR="009D4A29" w:rsidRPr="009D4A29">
        <w:rPr>
          <w:sz w:val="26"/>
          <w:szCs w:val="26"/>
        </w:rPr>
        <w:t>reported for sponsor dose groups</w:t>
      </w:r>
      <w:r w:rsidR="009D4A29">
        <w:rPr>
          <w:sz w:val="26"/>
          <w:szCs w:val="26"/>
        </w:rPr>
        <w:t xml:space="preserve">. Hence industry needs an easy way of automated generation and suggestion of SEND trial design from Study Report and being able to compare with submitted SEND trial design that indirectly facilitates in comparing SEND data values against summarized data in study reports.    </w:t>
      </w:r>
    </w:p>
    <w:p w14:paraId="3828A913" w14:textId="3143865C" w:rsidR="003C484A" w:rsidRPr="00536A34" w:rsidRDefault="003C484A" w:rsidP="00FA045D">
      <w:pPr>
        <w:pStyle w:val="Body"/>
        <w:jc w:val="both"/>
        <w:rPr>
          <w:sz w:val="26"/>
          <w:szCs w:val="26"/>
        </w:rPr>
      </w:pPr>
      <w:r>
        <w:rPr>
          <w:sz w:val="26"/>
          <w:szCs w:val="26"/>
        </w:rPr>
        <w:t>This paper reports</w:t>
      </w:r>
      <w:r w:rsidRPr="00536A34">
        <w:rPr>
          <w:sz w:val="26"/>
          <w:szCs w:val="26"/>
        </w:rPr>
        <w:t xml:space="preserve"> a continuously improving process using machine learning algorithms</w:t>
      </w:r>
      <w:r w:rsidR="00AD141E">
        <w:rPr>
          <w:sz w:val="26"/>
          <w:szCs w:val="26"/>
        </w:rPr>
        <w:t xml:space="preserve"> (MLA) </w:t>
      </w:r>
      <w:r>
        <w:rPr>
          <w:sz w:val="26"/>
          <w:szCs w:val="26"/>
        </w:rPr>
        <w:t>recommendations in classification of original observations to STRESC, Severity and Modifiers</w:t>
      </w:r>
      <w:r w:rsidR="003E67D8">
        <w:rPr>
          <w:sz w:val="26"/>
          <w:szCs w:val="26"/>
        </w:rPr>
        <w:t>.</w:t>
      </w:r>
    </w:p>
    <w:p w14:paraId="0AEB1B44" w14:textId="77777777" w:rsidR="00ED2A4F" w:rsidRDefault="00ED2A4F" w:rsidP="00CF1287">
      <w:pPr>
        <w:autoSpaceDE w:val="0"/>
        <w:autoSpaceDN w:val="0"/>
        <w:adjustRightInd w:val="0"/>
        <w:spacing w:after="0" w:line="240" w:lineRule="auto"/>
      </w:pPr>
    </w:p>
    <w:p w14:paraId="7881BF9D" w14:textId="77777777" w:rsidR="004D7D56" w:rsidRDefault="00F948AC" w:rsidP="00F948AC">
      <w:pPr>
        <w:rPr>
          <w:b/>
          <w:sz w:val="26"/>
          <w:szCs w:val="26"/>
        </w:rPr>
      </w:pPr>
      <w:r w:rsidRPr="00F948AC">
        <w:rPr>
          <w:rStyle w:val="Heading2Char"/>
          <w:b/>
        </w:rPr>
        <w:t>Methodology</w:t>
      </w:r>
    </w:p>
    <w:p w14:paraId="24A0E7EB" w14:textId="06864760" w:rsidR="00F948AC" w:rsidRPr="00F948AC" w:rsidRDefault="00F948AC" w:rsidP="00FA045D">
      <w:pPr>
        <w:jc w:val="both"/>
        <w:rPr>
          <w:sz w:val="26"/>
          <w:szCs w:val="26"/>
        </w:rPr>
      </w:pPr>
      <w:r w:rsidRPr="00F948AC">
        <w:rPr>
          <w:sz w:val="26"/>
          <w:szCs w:val="26"/>
        </w:rPr>
        <w:t>In order to improve the quality and consistency in qualitative data with respect to SEND datasets, a generic model based technique would be a</w:t>
      </w:r>
      <w:r w:rsidR="00D523BC">
        <w:rPr>
          <w:sz w:val="26"/>
          <w:szCs w:val="26"/>
        </w:rPr>
        <w:t xml:space="preserve"> better suited</w:t>
      </w:r>
      <w:r w:rsidRPr="00F948AC">
        <w:rPr>
          <w:sz w:val="26"/>
          <w:szCs w:val="26"/>
        </w:rPr>
        <w:t xml:space="preserve"> solution.  A machine learning technique that can adopt to the internally developed training set for improving the quality and consistency in qualitative data with respect to SEND datasets. </w:t>
      </w:r>
    </w:p>
    <w:p w14:paraId="3F1D62AF" w14:textId="306A88C0" w:rsidR="00C437A2" w:rsidRPr="00C437A2" w:rsidRDefault="00C437A2" w:rsidP="00FA045D">
      <w:pPr>
        <w:rPr>
          <w:b/>
          <w:sz w:val="26"/>
          <w:szCs w:val="26"/>
        </w:rPr>
      </w:pPr>
      <w:r w:rsidRPr="00C437A2">
        <w:rPr>
          <w:b/>
          <w:bCs/>
          <w:sz w:val="26"/>
          <w:szCs w:val="26"/>
        </w:rPr>
        <w:t>Parsing Original Pathological Findings to SEND Variables</w:t>
      </w:r>
    </w:p>
    <w:p w14:paraId="15FA4D3C" w14:textId="0E429C4D" w:rsidR="00A312B0" w:rsidRDefault="00FA045D" w:rsidP="00214B86">
      <w:pPr>
        <w:rPr>
          <w:b/>
          <w:sz w:val="26"/>
          <w:szCs w:val="26"/>
        </w:rPr>
      </w:pPr>
      <w:r>
        <w:rPr>
          <w:b/>
          <w:sz w:val="26"/>
          <w:szCs w:val="26"/>
        </w:rPr>
        <w:t>Data Collection:</w:t>
      </w:r>
      <w:r w:rsidR="00A312B0">
        <w:rPr>
          <w:b/>
          <w:sz w:val="26"/>
          <w:szCs w:val="26"/>
        </w:rPr>
        <w:t xml:space="preserve"> </w:t>
      </w:r>
    </w:p>
    <w:p w14:paraId="1AF331E3" w14:textId="77777777" w:rsidR="00FC1042" w:rsidRPr="00214B86" w:rsidRDefault="00FC1042" w:rsidP="00FA045D">
      <w:pPr>
        <w:jc w:val="both"/>
        <w:rPr>
          <w:sz w:val="26"/>
          <w:szCs w:val="26"/>
        </w:rPr>
      </w:pPr>
      <w:r>
        <w:rPr>
          <w:sz w:val="26"/>
          <w:szCs w:val="26"/>
        </w:rPr>
        <w:t xml:space="preserve">The </w:t>
      </w:r>
      <w:r w:rsidRPr="00214B86">
        <w:rPr>
          <w:sz w:val="26"/>
          <w:szCs w:val="26"/>
        </w:rPr>
        <w:t xml:space="preserve">PointCross synthesized and anonymized findings were used for developing the training set which includes --STRESC, --ANTREG, --SEV, --SPEC, --LAT, --DIR, --REASND and QUAL as part of SEND standard columns for each domains such as Macroscopic observations (MA), Microscopic observations (MI) and Clinical Observations (CL). </w:t>
      </w:r>
    </w:p>
    <w:p w14:paraId="216B3139" w14:textId="7AC1EAA6" w:rsidR="00A312B0" w:rsidRDefault="00A312B0" w:rsidP="00214B86">
      <w:pPr>
        <w:rPr>
          <w:b/>
          <w:sz w:val="26"/>
          <w:szCs w:val="26"/>
        </w:rPr>
      </w:pPr>
      <w:r w:rsidRPr="00214B86">
        <w:rPr>
          <w:b/>
          <w:sz w:val="26"/>
          <w:szCs w:val="26"/>
        </w:rPr>
        <w:t xml:space="preserve">Data Pre-processing &amp; applying available Semantics: </w:t>
      </w:r>
    </w:p>
    <w:p w14:paraId="665335F2" w14:textId="77777777" w:rsidR="009757BD" w:rsidRPr="003501A5" w:rsidRDefault="009757BD" w:rsidP="009757BD">
      <w:pPr>
        <w:rPr>
          <w:b/>
          <w:bCs/>
          <w:sz w:val="26"/>
          <w:szCs w:val="26"/>
        </w:rPr>
      </w:pPr>
      <w:r w:rsidRPr="009757BD">
        <w:rPr>
          <w:b/>
          <w:bCs/>
          <w:sz w:val="26"/>
          <w:szCs w:val="26"/>
        </w:rPr>
        <w:t>Sequential Based approach</w:t>
      </w:r>
    </w:p>
    <w:p w14:paraId="0FDA5E6D" w14:textId="105E408D" w:rsidR="00A312B0" w:rsidRPr="00214B86" w:rsidRDefault="00A312B0" w:rsidP="00FA045D">
      <w:pPr>
        <w:pStyle w:val="ListParagraph"/>
        <w:numPr>
          <w:ilvl w:val="0"/>
          <w:numId w:val="13"/>
        </w:numPr>
        <w:jc w:val="both"/>
        <w:rPr>
          <w:sz w:val="26"/>
          <w:szCs w:val="26"/>
        </w:rPr>
      </w:pPr>
      <w:r w:rsidRPr="00214B86">
        <w:rPr>
          <w:sz w:val="26"/>
          <w:szCs w:val="26"/>
        </w:rPr>
        <w:t>Text is tokenized by removing the case differences and special characters, correcting the spacing</w:t>
      </w:r>
      <w:r w:rsidR="00FC1042">
        <w:rPr>
          <w:sz w:val="26"/>
          <w:szCs w:val="26"/>
        </w:rPr>
        <w:t>.</w:t>
      </w:r>
    </w:p>
    <w:p w14:paraId="68525E5D" w14:textId="77777777" w:rsidR="001D3666" w:rsidRPr="001D3666" w:rsidRDefault="00A312B0" w:rsidP="00FA045D">
      <w:pPr>
        <w:pStyle w:val="ListParagraph"/>
        <w:numPr>
          <w:ilvl w:val="0"/>
          <w:numId w:val="13"/>
        </w:numPr>
        <w:jc w:val="both"/>
        <w:rPr>
          <w:sz w:val="26"/>
          <w:szCs w:val="26"/>
        </w:rPr>
      </w:pPr>
      <w:r w:rsidRPr="001D3666">
        <w:rPr>
          <w:sz w:val="26"/>
          <w:szCs w:val="26"/>
        </w:rPr>
        <w:t>Knowledge from existing PointCross maintained global CT, Ontologies and CDISC CT is used to identify phrases (multi-word constructs) as single entity for further processing, and identifying negation and double-negatives. (</w:t>
      </w:r>
      <w:r w:rsidR="001D3666" w:rsidRPr="001D3666">
        <w:rPr>
          <w:b/>
          <w:sz w:val="26"/>
          <w:szCs w:val="26"/>
        </w:rPr>
        <w:t>Example 1</w:t>
      </w:r>
      <w:r w:rsidRPr="001D3666">
        <w:rPr>
          <w:b/>
          <w:sz w:val="26"/>
          <w:szCs w:val="26"/>
        </w:rPr>
        <w:t>.</w:t>
      </w:r>
      <w:r w:rsidRPr="001D3666">
        <w:rPr>
          <w:sz w:val="26"/>
          <w:szCs w:val="26"/>
        </w:rPr>
        <w:t xml:space="preserve"> "Gland, Adrenal”, “Adrenal Gland”, “Gland: adrenal” and other forms represented as “</w:t>
      </w:r>
      <w:proofErr w:type="spellStart"/>
      <w:r w:rsidRPr="001D3666">
        <w:rPr>
          <w:sz w:val="26"/>
          <w:szCs w:val="26"/>
        </w:rPr>
        <w:t>gland_adrenal</w:t>
      </w:r>
      <w:proofErr w:type="spellEnd"/>
      <w:r w:rsidRPr="001D3666">
        <w:rPr>
          <w:sz w:val="26"/>
          <w:szCs w:val="26"/>
        </w:rPr>
        <w:t>”</w:t>
      </w:r>
      <w:r w:rsidR="001D3666" w:rsidRPr="001D3666">
        <w:rPr>
          <w:sz w:val="26"/>
          <w:szCs w:val="26"/>
        </w:rPr>
        <w:t xml:space="preserve">, </w:t>
      </w:r>
      <w:r w:rsidR="001D3666" w:rsidRPr="001D3666">
        <w:rPr>
          <w:b/>
          <w:sz w:val="26"/>
          <w:szCs w:val="26"/>
        </w:rPr>
        <w:t>Example 2.</w:t>
      </w:r>
      <w:r w:rsidR="001D3666" w:rsidRPr="001D3666">
        <w:rPr>
          <w:sz w:val="26"/>
          <w:szCs w:val="26"/>
        </w:rPr>
        <w:t xml:space="preserve">  “No visible lesions noted”, "No significant pathologic </w:t>
      </w:r>
      <w:r w:rsidR="001D3666" w:rsidRPr="001D3666">
        <w:rPr>
          <w:sz w:val="26"/>
          <w:szCs w:val="26"/>
        </w:rPr>
        <w:lastRenderedPageBreak/>
        <w:t>alterations”, "No abnormalities detected”, "NO NECROPSY OBSERVATIONS", “With Normal Limits”  “NORMAL")</w:t>
      </w:r>
    </w:p>
    <w:p w14:paraId="1C8D0461" w14:textId="572E1AE1" w:rsidR="00A312B0" w:rsidRPr="009757BD" w:rsidRDefault="00A312B0" w:rsidP="00FC1042">
      <w:pPr>
        <w:ind w:left="360"/>
        <w:rPr>
          <w:sz w:val="26"/>
          <w:szCs w:val="26"/>
        </w:rPr>
      </w:pPr>
      <w:r w:rsidRPr="003501A5">
        <w:rPr>
          <w:b/>
          <w:sz w:val="26"/>
          <w:szCs w:val="26"/>
        </w:rPr>
        <w:t>Creating Neural Word Embeddings</w:t>
      </w:r>
      <w:r w:rsidR="00FC1042">
        <w:rPr>
          <w:b/>
          <w:sz w:val="26"/>
          <w:szCs w:val="26"/>
        </w:rPr>
        <w:t xml:space="preserve"> and Convolutional Neural network for classifying ORRES to standard variables</w:t>
      </w:r>
      <w:r w:rsidRPr="009757BD">
        <w:rPr>
          <w:sz w:val="26"/>
          <w:szCs w:val="26"/>
        </w:rPr>
        <w:t>:</w:t>
      </w:r>
    </w:p>
    <w:p w14:paraId="1C393186" w14:textId="08F2867D" w:rsidR="00A312B0" w:rsidRPr="00214B86" w:rsidRDefault="00A312B0" w:rsidP="00FA045D">
      <w:pPr>
        <w:pStyle w:val="ListParagraph"/>
        <w:numPr>
          <w:ilvl w:val="0"/>
          <w:numId w:val="13"/>
        </w:numPr>
        <w:jc w:val="both"/>
        <w:rPr>
          <w:b/>
          <w:sz w:val="26"/>
          <w:szCs w:val="26"/>
        </w:rPr>
      </w:pPr>
      <w:r w:rsidRPr="00214B86">
        <w:rPr>
          <w:sz w:val="26"/>
          <w:szCs w:val="26"/>
        </w:rPr>
        <w:t>We have used the resulting output from the above processing to create a vector representation of the words using Word2Vec</w:t>
      </w:r>
      <w:r w:rsidR="00214B86">
        <w:rPr>
          <w:sz w:val="26"/>
          <w:szCs w:val="26"/>
        </w:rPr>
        <w:t xml:space="preserve"> (</w:t>
      </w:r>
      <w:r w:rsidR="00214B86">
        <w:rPr>
          <w:sz w:val="26"/>
          <w:szCs w:val="26"/>
          <w:vertAlign w:val="superscript"/>
        </w:rPr>
        <w:t>4</w:t>
      </w:r>
      <w:r w:rsidR="00214B86">
        <w:rPr>
          <w:sz w:val="26"/>
          <w:szCs w:val="26"/>
        </w:rPr>
        <w:t>)</w:t>
      </w:r>
      <w:r w:rsidRPr="00214B86">
        <w:rPr>
          <w:sz w:val="26"/>
          <w:szCs w:val="26"/>
        </w:rPr>
        <w:t xml:space="preserve">. </w:t>
      </w:r>
    </w:p>
    <w:p w14:paraId="592DA0EB" w14:textId="417A534B" w:rsidR="00A312B0" w:rsidRPr="00214B86" w:rsidRDefault="00A312B0" w:rsidP="00FA045D">
      <w:pPr>
        <w:pStyle w:val="ListParagraph"/>
        <w:numPr>
          <w:ilvl w:val="0"/>
          <w:numId w:val="13"/>
        </w:numPr>
        <w:jc w:val="both"/>
        <w:rPr>
          <w:sz w:val="26"/>
          <w:szCs w:val="26"/>
        </w:rPr>
      </w:pPr>
      <w:r w:rsidRPr="00214B86">
        <w:rPr>
          <w:sz w:val="26"/>
          <w:szCs w:val="26"/>
        </w:rPr>
        <w:t>After a couple of trails we have decided to use the skip-gram architecture and negative samples methods to create the embedding layer.</w:t>
      </w:r>
    </w:p>
    <w:p w14:paraId="4CB33A7F" w14:textId="0CDA303A" w:rsidR="00A312B0" w:rsidRDefault="00A312B0" w:rsidP="00FA045D">
      <w:pPr>
        <w:pStyle w:val="ListParagraph"/>
        <w:numPr>
          <w:ilvl w:val="0"/>
          <w:numId w:val="13"/>
        </w:numPr>
        <w:jc w:val="both"/>
        <w:rPr>
          <w:sz w:val="26"/>
          <w:szCs w:val="26"/>
        </w:rPr>
      </w:pPr>
      <w:r w:rsidRPr="00214B86">
        <w:rPr>
          <w:sz w:val="26"/>
          <w:szCs w:val="26"/>
        </w:rPr>
        <w:t>Output from this unsupervised learning is a dense vectors representations of words/phrases that retain the natural relationship between words in multi-dimensional space based on pathological descriptions and curated ontologies created by humans.</w:t>
      </w:r>
    </w:p>
    <w:p w14:paraId="6F0BF822" w14:textId="77777777" w:rsidR="009757BD" w:rsidRPr="009757BD" w:rsidRDefault="009757BD" w:rsidP="00FA045D">
      <w:pPr>
        <w:pStyle w:val="ListParagraph"/>
        <w:numPr>
          <w:ilvl w:val="0"/>
          <w:numId w:val="13"/>
        </w:numPr>
        <w:jc w:val="both"/>
        <w:rPr>
          <w:sz w:val="26"/>
          <w:szCs w:val="26"/>
        </w:rPr>
      </w:pPr>
      <w:r w:rsidRPr="009757BD">
        <w:rPr>
          <w:sz w:val="26"/>
          <w:szCs w:val="26"/>
        </w:rPr>
        <w:t>A deep convolutional neural network is created and trained using the text from the training set and input is added using the neural embedding created above.</w:t>
      </w:r>
    </w:p>
    <w:p w14:paraId="0DAA156F" w14:textId="77777777" w:rsidR="003501A5" w:rsidRDefault="003501A5" w:rsidP="003501A5">
      <w:pPr>
        <w:rPr>
          <w:b/>
          <w:bCs/>
          <w:sz w:val="26"/>
          <w:szCs w:val="26"/>
        </w:rPr>
      </w:pPr>
    </w:p>
    <w:p w14:paraId="339DDD6B" w14:textId="77777777" w:rsidR="003501A5" w:rsidRPr="003501A5" w:rsidRDefault="003501A5" w:rsidP="00FA045D">
      <w:pPr>
        <w:jc w:val="both"/>
        <w:rPr>
          <w:b/>
          <w:bCs/>
          <w:sz w:val="26"/>
          <w:szCs w:val="26"/>
        </w:rPr>
      </w:pPr>
      <w:r w:rsidRPr="003501A5">
        <w:rPr>
          <w:b/>
          <w:bCs/>
          <w:sz w:val="26"/>
          <w:szCs w:val="26"/>
        </w:rPr>
        <w:t>Pattern Based Approach</w:t>
      </w:r>
    </w:p>
    <w:p w14:paraId="4A5AC081" w14:textId="686CDA15" w:rsidR="00F948AC" w:rsidRPr="00214B86" w:rsidRDefault="00BE2F0D" w:rsidP="00FA045D">
      <w:pPr>
        <w:jc w:val="both"/>
        <w:rPr>
          <w:sz w:val="26"/>
          <w:szCs w:val="26"/>
        </w:rPr>
      </w:pPr>
      <w:r w:rsidRPr="00214B86">
        <w:rPr>
          <w:b/>
          <w:sz w:val="26"/>
          <w:szCs w:val="26"/>
        </w:rPr>
        <w:t>Feature Extraction</w:t>
      </w:r>
      <w:r w:rsidRPr="00214B86">
        <w:rPr>
          <w:sz w:val="26"/>
          <w:szCs w:val="26"/>
        </w:rPr>
        <w:t xml:space="preserve">: </w:t>
      </w:r>
      <w:r w:rsidR="00FA045D">
        <w:rPr>
          <w:sz w:val="26"/>
          <w:szCs w:val="26"/>
        </w:rPr>
        <w:t>T</w:t>
      </w:r>
      <w:r w:rsidR="00F948AC" w:rsidRPr="00214B86">
        <w:rPr>
          <w:sz w:val="26"/>
          <w:szCs w:val="26"/>
        </w:rPr>
        <w:t>he data was processed to get the list of unique words as columns and list of words as rows in a matrix form with 0 or 1 as values, where 0 indicates that particular word is not pr</w:t>
      </w:r>
      <w:r w:rsidR="00FA045D">
        <w:rPr>
          <w:sz w:val="26"/>
          <w:szCs w:val="26"/>
        </w:rPr>
        <w:t>esent in standard variable and</w:t>
      </w:r>
      <w:r w:rsidR="00F948AC" w:rsidRPr="00214B86">
        <w:rPr>
          <w:sz w:val="26"/>
          <w:szCs w:val="26"/>
        </w:rPr>
        <w:t xml:space="preserve"> indicates that particular word is present in the standard variable.</w:t>
      </w:r>
    </w:p>
    <w:p w14:paraId="63CD25B4" w14:textId="77777777" w:rsidR="003E67D8" w:rsidRPr="003E67D8" w:rsidRDefault="00F948AC" w:rsidP="003E67D8">
      <w:pPr>
        <w:jc w:val="both"/>
        <w:rPr>
          <w:sz w:val="26"/>
          <w:szCs w:val="26"/>
        </w:rPr>
      </w:pPr>
      <w:r w:rsidRPr="00DA5841">
        <w:rPr>
          <w:b/>
          <w:sz w:val="26"/>
          <w:szCs w:val="26"/>
        </w:rPr>
        <w:t>Method:</w:t>
      </w:r>
      <w:r w:rsidRPr="00DA5841">
        <w:rPr>
          <w:sz w:val="26"/>
          <w:szCs w:val="26"/>
        </w:rPr>
        <w:t xml:space="preserve"> </w:t>
      </w:r>
      <w:r w:rsidR="003E67D8" w:rsidRPr="003E67D8">
        <w:rPr>
          <w:sz w:val="26"/>
          <w:szCs w:val="26"/>
        </w:rPr>
        <w:t>MLP-Multilayer Perceptron belongs to a class of fully connected feed forward networks where each neuron is connected with other neurons at every next layer and it uses the supervised learning technique called back-propagation also known as backward propagation of error as a generic model with the following parameters for the training set:</w:t>
      </w:r>
    </w:p>
    <w:p w14:paraId="502C6785" w14:textId="77777777" w:rsidR="007B3D54" w:rsidRPr="003E67D8" w:rsidRDefault="00AF1B57" w:rsidP="003E67D8">
      <w:pPr>
        <w:numPr>
          <w:ilvl w:val="0"/>
          <w:numId w:val="17"/>
        </w:numPr>
        <w:jc w:val="both"/>
        <w:rPr>
          <w:sz w:val="26"/>
          <w:szCs w:val="26"/>
        </w:rPr>
      </w:pPr>
      <w:r w:rsidRPr="003E67D8">
        <w:rPr>
          <w:b/>
          <w:bCs/>
          <w:sz w:val="26"/>
          <w:szCs w:val="26"/>
        </w:rPr>
        <w:t xml:space="preserve">A learning function </w:t>
      </w:r>
      <w:r w:rsidRPr="003E67D8">
        <w:rPr>
          <w:sz w:val="26"/>
          <w:szCs w:val="26"/>
        </w:rPr>
        <w:t>with a suitable learning rate between 0 and 0.2.  If the function is taking time to converge, the learning rate is too small (may be close to 0). If the function fails to converge, the learning rate is too big (may be close to 1).</w:t>
      </w:r>
    </w:p>
    <w:p w14:paraId="528C4031" w14:textId="77777777" w:rsidR="007B3D54" w:rsidRPr="003E67D8" w:rsidRDefault="00AF1B57" w:rsidP="003E67D8">
      <w:pPr>
        <w:numPr>
          <w:ilvl w:val="0"/>
          <w:numId w:val="17"/>
        </w:numPr>
        <w:jc w:val="both"/>
        <w:rPr>
          <w:sz w:val="26"/>
          <w:szCs w:val="26"/>
        </w:rPr>
      </w:pPr>
      <w:r w:rsidRPr="003E67D8">
        <w:rPr>
          <w:b/>
          <w:bCs/>
          <w:sz w:val="26"/>
          <w:szCs w:val="26"/>
        </w:rPr>
        <w:t xml:space="preserve">The maximum output difference </w:t>
      </w:r>
      <w:r w:rsidRPr="003E67D8">
        <w:rPr>
          <w:sz w:val="26"/>
          <w:szCs w:val="26"/>
        </w:rPr>
        <w:t>which</w:t>
      </w:r>
      <w:r w:rsidRPr="003E67D8">
        <w:rPr>
          <w:b/>
          <w:bCs/>
          <w:sz w:val="26"/>
          <w:szCs w:val="26"/>
        </w:rPr>
        <w:t xml:space="preserve"> </w:t>
      </w:r>
      <w:r w:rsidRPr="003E67D8">
        <w:rPr>
          <w:sz w:val="26"/>
          <w:szCs w:val="26"/>
        </w:rPr>
        <w:t>measures how much error between output and target value. Basically, this parameter takes care of the model so that it is not over-fitting.</w:t>
      </w:r>
    </w:p>
    <w:p w14:paraId="698780B3" w14:textId="77777777" w:rsidR="007B3D54" w:rsidRPr="003E67D8" w:rsidRDefault="00AF1B57" w:rsidP="003E67D8">
      <w:pPr>
        <w:numPr>
          <w:ilvl w:val="0"/>
          <w:numId w:val="17"/>
        </w:numPr>
        <w:jc w:val="both"/>
        <w:rPr>
          <w:sz w:val="26"/>
          <w:szCs w:val="26"/>
        </w:rPr>
      </w:pPr>
      <w:r w:rsidRPr="003E67D8">
        <w:rPr>
          <w:b/>
          <w:bCs/>
          <w:sz w:val="26"/>
          <w:szCs w:val="26"/>
        </w:rPr>
        <w:t xml:space="preserve">The initial function </w:t>
      </w:r>
      <w:r w:rsidRPr="003E67D8">
        <w:rPr>
          <w:sz w:val="26"/>
          <w:szCs w:val="26"/>
        </w:rPr>
        <w:t xml:space="preserve">with random weights between -0.3 and 0.3 </w:t>
      </w:r>
    </w:p>
    <w:p w14:paraId="0E613842" w14:textId="77777777" w:rsidR="003E67D8" w:rsidRPr="003E67D8" w:rsidRDefault="003E67D8" w:rsidP="003E67D8">
      <w:pPr>
        <w:jc w:val="both"/>
        <w:rPr>
          <w:sz w:val="26"/>
          <w:szCs w:val="26"/>
        </w:rPr>
      </w:pPr>
      <w:r w:rsidRPr="003E67D8">
        <w:rPr>
          <w:sz w:val="26"/>
          <w:szCs w:val="26"/>
        </w:rPr>
        <w:lastRenderedPageBreak/>
        <w:t>Also, a network of associated words is built to support the supervised learning model in order to get reliable result</w:t>
      </w:r>
    </w:p>
    <w:p w14:paraId="5FEC6CA1" w14:textId="77777777" w:rsidR="004D7D56" w:rsidRDefault="004D7D56" w:rsidP="00FA045D">
      <w:pPr>
        <w:pStyle w:val="Heading2"/>
        <w:jc w:val="both"/>
        <w:rPr>
          <w:b/>
        </w:rPr>
      </w:pPr>
      <w:r>
        <w:rPr>
          <w:b/>
        </w:rPr>
        <w:t>Results &amp; Discussions</w:t>
      </w:r>
    </w:p>
    <w:p w14:paraId="0C103DD3" w14:textId="2F9CE73D" w:rsidR="00DA7A6C" w:rsidRDefault="00C12C99" w:rsidP="00FA045D">
      <w:pPr>
        <w:jc w:val="both"/>
        <w:rPr>
          <w:sz w:val="26"/>
          <w:szCs w:val="26"/>
        </w:rPr>
      </w:pPr>
      <w:r w:rsidRPr="00F31CC0">
        <w:rPr>
          <w:sz w:val="26"/>
          <w:szCs w:val="26"/>
        </w:rPr>
        <w:t xml:space="preserve">The classification of ORRES to STRESC and other modifiers is </w:t>
      </w:r>
      <w:r w:rsidR="00F31CC0">
        <w:rPr>
          <w:sz w:val="26"/>
          <w:szCs w:val="26"/>
        </w:rPr>
        <w:t xml:space="preserve">generally </w:t>
      </w:r>
      <w:r w:rsidRPr="00F31CC0">
        <w:rPr>
          <w:sz w:val="26"/>
          <w:szCs w:val="26"/>
        </w:rPr>
        <w:t>a tedious effort and manual classification suffers from many inconsistencies which lead to leverage</w:t>
      </w:r>
      <w:r w:rsidR="00CD3126">
        <w:rPr>
          <w:sz w:val="26"/>
          <w:szCs w:val="26"/>
        </w:rPr>
        <w:t xml:space="preserve"> of</w:t>
      </w:r>
      <w:r w:rsidRPr="00F31CC0">
        <w:rPr>
          <w:sz w:val="26"/>
          <w:szCs w:val="26"/>
        </w:rPr>
        <w:t xml:space="preserve"> machine learning algorithm</w:t>
      </w:r>
      <w:r w:rsidR="00165A79">
        <w:rPr>
          <w:sz w:val="26"/>
          <w:szCs w:val="26"/>
        </w:rPr>
        <w:t>s</w:t>
      </w:r>
      <w:r w:rsidR="00F31CC0">
        <w:rPr>
          <w:sz w:val="26"/>
          <w:szCs w:val="26"/>
        </w:rPr>
        <w:t>.</w:t>
      </w:r>
      <w:r w:rsidRPr="00F31CC0">
        <w:rPr>
          <w:sz w:val="26"/>
          <w:szCs w:val="26"/>
        </w:rPr>
        <w:t xml:space="preserve"> </w:t>
      </w:r>
      <w:r w:rsidR="00ED0B3F">
        <w:rPr>
          <w:sz w:val="26"/>
          <w:szCs w:val="26"/>
        </w:rPr>
        <w:t>Neural network</w:t>
      </w:r>
      <w:r w:rsidR="00DA7A6C" w:rsidRPr="00DA7A6C">
        <w:rPr>
          <w:sz w:val="26"/>
          <w:szCs w:val="26"/>
        </w:rPr>
        <w:t xml:space="preserve"> have proven to be useful in</w:t>
      </w:r>
      <w:r w:rsidR="00DA7A6C">
        <w:rPr>
          <w:sz w:val="26"/>
          <w:szCs w:val="26"/>
        </w:rPr>
        <w:t xml:space="preserve"> Pharmaceutical Research </w:t>
      </w:r>
      <w:r w:rsidR="00DA7A6C" w:rsidRPr="00DA7A6C">
        <w:rPr>
          <w:sz w:val="26"/>
          <w:szCs w:val="26"/>
        </w:rPr>
        <w:t>and in many other</w:t>
      </w:r>
      <w:r w:rsidR="00DA7A6C">
        <w:rPr>
          <w:sz w:val="26"/>
          <w:szCs w:val="26"/>
        </w:rPr>
        <w:t xml:space="preserve"> </w:t>
      </w:r>
      <w:r w:rsidR="00DA7A6C" w:rsidRPr="00DA7A6C">
        <w:rPr>
          <w:sz w:val="26"/>
          <w:szCs w:val="26"/>
        </w:rPr>
        <w:t>different clinical applications using pattern recognition; for example: diagnosis of breast</w:t>
      </w:r>
      <w:r w:rsidR="00DA7A6C">
        <w:rPr>
          <w:sz w:val="26"/>
          <w:szCs w:val="26"/>
        </w:rPr>
        <w:t xml:space="preserve"> </w:t>
      </w:r>
      <w:r w:rsidR="00DA7A6C" w:rsidRPr="00DA7A6C">
        <w:rPr>
          <w:sz w:val="26"/>
          <w:szCs w:val="26"/>
        </w:rPr>
        <w:t>cancer, interpreting electrocardiograms, diagnosing dementia, predicting prognosis and</w:t>
      </w:r>
      <w:r w:rsidR="00DA7A6C">
        <w:rPr>
          <w:sz w:val="26"/>
          <w:szCs w:val="26"/>
        </w:rPr>
        <w:t xml:space="preserve"> </w:t>
      </w:r>
      <w:r w:rsidR="00DA7A6C" w:rsidRPr="00DA7A6C">
        <w:rPr>
          <w:sz w:val="26"/>
          <w:szCs w:val="26"/>
        </w:rPr>
        <w:t>survival rates</w:t>
      </w:r>
      <w:r w:rsidR="00214B86">
        <w:rPr>
          <w:sz w:val="26"/>
          <w:szCs w:val="26"/>
          <w:vertAlign w:val="superscript"/>
        </w:rPr>
        <w:t>5</w:t>
      </w:r>
      <w:r w:rsidR="00DA7A6C">
        <w:rPr>
          <w:sz w:val="26"/>
          <w:szCs w:val="26"/>
        </w:rPr>
        <w:t>.</w:t>
      </w:r>
    </w:p>
    <w:p w14:paraId="66207941" w14:textId="77777777" w:rsidR="004D7D56" w:rsidRPr="00F31CC0" w:rsidRDefault="0081685C" w:rsidP="00FA045D">
      <w:pPr>
        <w:jc w:val="both"/>
        <w:rPr>
          <w:sz w:val="26"/>
          <w:szCs w:val="26"/>
        </w:rPr>
      </w:pPr>
      <w:r>
        <w:rPr>
          <w:sz w:val="26"/>
          <w:szCs w:val="26"/>
        </w:rPr>
        <w:t xml:space="preserve">Here in this paper, to </w:t>
      </w:r>
      <w:r w:rsidR="000E463A">
        <w:rPr>
          <w:sz w:val="26"/>
          <w:szCs w:val="26"/>
        </w:rPr>
        <w:t xml:space="preserve">test </w:t>
      </w:r>
      <w:r>
        <w:rPr>
          <w:sz w:val="26"/>
          <w:szCs w:val="26"/>
        </w:rPr>
        <w:t>our methodological approach w</w:t>
      </w:r>
      <w:r w:rsidR="00DA7A6C">
        <w:rPr>
          <w:sz w:val="26"/>
          <w:szCs w:val="26"/>
        </w:rPr>
        <w:t xml:space="preserve">e took PC201708 sample </w:t>
      </w:r>
      <w:r w:rsidR="00967787">
        <w:rPr>
          <w:sz w:val="26"/>
          <w:szCs w:val="26"/>
        </w:rPr>
        <w:t xml:space="preserve">synthesized </w:t>
      </w:r>
      <w:r>
        <w:rPr>
          <w:sz w:val="26"/>
          <w:szCs w:val="26"/>
        </w:rPr>
        <w:t xml:space="preserve">SEND </w:t>
      </w:r>
      <w:r w:rsidR="00DA7A6C">
        <w:rPr>
          <w:sz w:val="26"/>
          <w:szCs w:val="26"/>
        </w:rPr>
        <w:t>study</w:t>
      </w:r>
      <w:r w:rsidR="00A012E0">
        <w:rPr>
          <w:sz w:val="26"/>
          <w:szCs w:val="26"/>
        </w:rPr>
        <w:t xml:space="preserve"> (Downloadable: </w:t>
      </w:r>
      <w:hyperlink r:id="rId8" w:history="1">
        <w:r w:rsidR="00A012E0">
          <w:rPr>
            <w:rStyle w:val="Hyperlink"/>
            <w:rFonts w:ascii="Calibri" w:hAnsi="Calibri"/>
          </w:rPr>
          <w:t>http://info.pointcrosslifesciences.com/mysend</w:t>
        </w:r>
      </w:hyperlink>
      <w:r w:rsidR="00A012E0">
        <w:rPr>
          <w:rFonts w:ascii="Calibri" w:hAnsi="Calibri"/>
          <w:color w:val="1F497D"/>
        </w:rPr>
        <w:t>)</w:t>
      </w:r>
      <w:r w:rsidR="00DA7A6C">
        <w:rPr>
          <w:sz w:val="26"/>
          <w:szCs w:val="26"/>
        </w:rPr>
        <w:t xml:space="preserve">.  </w:t>
      </w:r>
    </w:p>
    <w:p w14:paraId="74BC0C42" w14:textId="31D2B4C7" w:rsidR="003E67D8" w:rsidRPr="003E67D8" w:rsidRDefault="003E67D8" w:rsidP="003E67D8">
      <w:pPr>
        <w:pStyle w:val="ListParagraph"/>
        <w:numPr>
          <w:ilvl w:val="0"/>
          <w:numId w:val="3"/>
        </w:numPr>
        <w:jc w:val="both"/>
        <w:rPr>
          <w:sz w:val="26"/>
          <w:szCs w:val="26"/>
        </w:rPr>
      </w:pPr>
      <w:r w:rsidRPr="003E67D8">
        <w:rPr>
          <w:sz w:val="26"/>
          <w:szCs w:val="26"/>
        </w:rPr>
        <w:t>The test study data is 13 –week repeat dose toxicity study conducted in rats, consist</w:t>
      </w:r>
      <w:r>
        <w:rPr>
          <w:sz w:val="26"/>
          <w:szCs w:val="26"/>
        </w:rPr>
        <w:t>s of a total of 4217 MI</w:t>
      </w:r>
      <w:r w:rsidRPr="003E67D8">
        <w:rPr>
          <w:sz w:val="26"/>
          <w:szCs w:val="26"/>
        </w:rPr>
        <w:t xml:space="preserve"> findings of which 92 are unique.</w:t>
      </w:r>
    </w:p>
    <w:p w14:paraId="3DFB3F85" w14:textId="77777777" w:rsidR="00E77252" w:rsidRDefault="00967787" w:rsidP="00FA045D">
      <w:pPr>
        <w:pStyle w:val="ListParagraph"/>
        <w:numPr>
          <w:ilvl w:val="0"/>
          <w:numId w:val="3"/>
        </w:numPr>
        <w:jc w:val="both"/>
        <w:rPr>
          <w:sz w:val="26"/>
          <w:szCs w:val="26"/>
        </w:rPr>
      </w:pPr>
      <w:r>
        <w:rPr>
          <w:sz w:val="26"/>
          <w:szCs w:val="26"/>
        </w:rPr>
        <w:t xml:space="preserve">We used </w:t>
      </w:r>
      <w:r w:rsidR="00ED0B3F">
        <w:rPr>
          <w:sz w:val="26"/>
          <w:szCs w:val="26"/>
        </w:rPr>
        <w:t>punctuation</w:t>
      </w:r>
      <w:r>
        <w:rPr>
          <w:sz w:val="26"/>
          <w:szCs w:val="26"/>
        </w:rPr>
        <w:t xml:space="preserve"> as a separator to create </w:t>
      </w:r>
      <w:r w:rsidR="00D960F8">
        <w:rPr>
          <w:sz w:val="26"/>
          <w:szCs w:val="26"/>
        </w:rPr>
        <w:t>phrase by word</w:t>
      </w:r>
      <w:r>
        <w:rPr>
          <w:sz w:val="26"/>
          <w:szCs w:val="26"/>
        </w:rPr>
        <w:t xml:space="preserve"> matrix.</w:t>
      </w:r>
    </w:p>
    <w:p w14:paraId="6AC0962C" w14:textId="77777777" w:rsidR="00967787" w:rsidRDefault="00967787" w:rsidP="00FA045D">
      <w:pPr>
        <w:pStyle w:val="ListParagraph"/>
        <w:numPr>
          <w:ilvl w:val="0"/>
          <w:numId w:val="3"/>
        </w:numPr>
        <w:jc w:val="both"/>
        <w:rPr>
          <w:sz w:val="26"/>
          <w:szCs w:val="26"/>
        </w:rPr>
      </w:pPr>
      <w:r>
        <w:rPr>
          <w:sz w:val="26"/>
          <w:szCs w:val="26"/>
        </w:rPr>
        <w:t xml:space="preserve">We kept </w:t>
      </w:r>
      <w:r w:rsidR="00F324F0">
        <w:rPr>
          <w:sz w:val="26"/>
          <w:szCs w:val="26"/>
        </w:rPr>
        <w:t>0.6 cut-off score for any term to appear in the output</w:t>
      </w:r>
    </w:p>
    <w:p w14:paraId="4563CAD1" w14:textId="3888DB99" w:rsidR="00107459" w:rsidRPr="00107459" w:rsidRDefault="00107459" w:rsidP="00FA045D">
      <w:pPr>
        <w:jc w:val="both"/>
        <w:rPr>
          <w:b/>
          <w:sz w:val="26"/>
          <w:szCs w:val="26"/>
        </w:rPr>
      </w:pPr>
      <w:r w:rsidRPr="00107459">
        <w:rPr>
          <w:b/>
          <w:sz w:val="26"/>
          <w:szCs w:val="26"/>
        </w:rPr>
        <w:t>Pattern Based Approach</w:t>
      </w:r>
    </w:p>
    <w:p w14:paraId="794E1369" w14:textId="2D80C535" w:rsidR="006C77D3" w:rsidRDefault="007D14A2" w:rsidP="00FA045D">
      <w:pPr>
        <w:jc w:val="both"/>
        <w:rPr>
          <w:sz w:val="26"/>
          <w:szCs w:val="26"/>
        </w:rPr>
      </w:pPr>
      <w:r>
        <w:rPr>
          <w:sz w:val="26"/>
          <w:szCs w:val="26"/>
        </w:rPr>
        <w:t xml:space="preserve">After data preprocessing, we extracted 154 unique </w:t>
      </w:r>
      <w:r w:rsidR="006C77D3">
        <w:rPr>
          <w:sz w:val="26"/>
          <w:szCs w:val="26"/>
        </w:rPr>
        <w:t>terms/</w:t>
      </w:r>
      <w:r>
        <w:rPr>
          <w:sz w:val="26"/>
          <w:szCs w:val="26"/>
        </w:rPr>
        <w:t xml:space="preserve">phrases as the input for machine learning engine. </w:t>
      </w:r>
      <w:r w:rsidR="006C77D3">
        <w:rPr>
          <w:sz w:val="26"/>
          <w:szCs w:val="26"/>
        </w:rPr>
        <w:t xml:space="preserve">With </w:t>
      </w:r>
      <w:r w:rsidR="00CD3126">
        <w:rPr>
          <w:sz w:val="26"/>
          <w:szCs w:val="26"/>
        </w:rPr>
        <w:t>the</w:t>
      </w:r>
      <w:r w:rsidR="006C77D3">
        <w:rPr>
          <w:sz w:val="26"/>
          <w:szCs w:val="26"/>
        </w:rPr>
        <w:t xml:space="preserve"> current set-up, the </w:t>
      </w:r>
      <w:r w:rsidR="00ED0B3F">
        <w:rPr>
          <w:sz w:val="26"/>
          <w:szCs w:val="26"/>
        </w:rPr>
        <w:t>MLP</w:t>
      </w:r>
      <w:r w:rsidR="006C77D3">
        <w:rPr>
          <w:sz w:val="26"/>
          <w:szCs w:val="26"/>
        </w:rPr>
        <w:t xml:space="preserve"> engine classified</w:t>
      </w:r>
      <w:r>
        <w:rPr>
          <w:sz w:val="26"/>
          <w:szCs w:val="26"/>
        </w:rPr>
        <w:t xml:space="preserve"> and predict</w:t>
      </w:r>
      <w:r w:rsidR="006C77D3">
        <w:rPr>
          <w:sz w:val="26"/>
          <w:szCs w:val="26"/>
        </w:rPr>
        <w:t>ed</w:t>
      </w:r>
      <w:r>
        <w:rPr>
          <w:sz w:val="26"/>
          <w:szCs w:val="26"/>
        </w:rPr>
        <w:t xml:space="preserve"> about 82 unique </w:t>
      </w:r>
      <w:r w:rsidR="008B4B26">
        <w:rPr>
          <w:sz w:val="26"/>
          <w:szCs w:val="26"/>
        </w:rPr>
        <w:t>terms</w:t>
      </w:r>
      <w:r w:rsidR="006C77D3">
        <w:rPr>
          <w:sz w:val="26"/>
          <w:szCs w:val="26"/>
        </w:rPr>
        <w:t xml:space="preserve">. </w:t>
      </w:r>
    </w:p>
    <w:p w14:paraId="434BA5E5" w14:textId="77777777" w:rsidR="00D62884" w:rsidRDefault="006C77D3" w:rsidP="00FA045D">
      <w:pPr>
        <w:jc w:val="both"/>
        <w:rPr>
          <w:sz w:val="26"/>
          <w:szCs w:val="26"/>
        </w:rPr>
      </w:pPr>
      <w:r>
        <w:rPr>
          <w:sz w:val="26"/>
          <w:szCs w:val="26"/>
        </w:rPr>
        <w:t>The reason for other remaining terms not appear</w:t>
      </w:r>
      <w:r w:rsidR="007D5AEA">
        <w:rPr>
          <w:sz w:val="26"/>
          <w:szCs w:val="26"/>
        </w:rPr>
        <w:t>ing</w:t>
      </w:r>
      <w:r>
        <w:rPr>
          <w:sz w:val="26"/>
          <w:szCs w:val="26"/>
        </w:rPr>
        <w:t xml:space="preserve"> in the </w:t>
      </w:r>
      <w:r w:rsidR="00ED0B3F">
        <w:rPr>
          <w:sz w:val="26"/>
          <w:szCs w:val="26"/>
        </w:rPr>
        <w:t>MLP</w:t>
      </w:r>
      <w:r>
        <w:rPr>
          <w:sz w:val="26"/>
          <w:szCs w:val="26"/>
        </w:rPr>
        <w:t xml:space="preserve"> output is, those terms </w:t>
      </w:r>
      <w:r w:rsidR="00D41C18">
        <w:rPr>
          <w:sz w:val="26"/>
          <w:szCs w:val="26"/>
        </w:rPr>
        <w:t>do</w:t>
      </w:r>
      <w:r>
        <w:rPr>
          <w:sz w:val="26"/>
          <w:szCs w:val="26"/>
        </w:rPr>
        <w:t xml:space="preserve"> not have an appearance in the training dataset we used</w:t>
      </w:r>
      <w:r w:rsidR="00D41C18">
        <w:rPr>
          <w:sz w:val="26"/>
          <w:szCs w:val="26"/>
        </w:rPr>
        <w:t>,</w:t>
      </w:r>
      <w:r>
        <w:rPr>
          <w:sz w:val="26"/>
          <w:szCs w:val="26"/>
        </w:rPr>
        <w:t xml:space="preserve"> and terms showed less score than the defined cut-off value of 0.6. </w:t>
      </w:r>
      <w:r w:rsidR="007D14A2">
        <w:rPr>
          <w:sz w:val="26"/>
          <w:szCs w:val="26"/>
        </w:rPr>
        <w:t xml:space="preserve"> </w:t>
      </w:r>
    </w:p>
    <w:p w14:paraId="74D7D539" w14:textId="27E0C696" w:rsidR="005327F2" w:rsidRDefault="00D41C18" w:rsidP="00FA045D">
      <w:pPr>
        <w:jc w:val="both"/>
        <w:rPr>
          <w:sz w:val="26"/>
          <w:szCs w:val="26"/>
        </w:rPr>
      </w:pPr>
      <w:r>
        <w:rPr>
          <w:sz w:val="26"/>
          <w:szCs w:val="26"/>
        </w:rPr>
        <w:t xml:space="preserve">The </w:t>
      </w:r>
      <w:r w:rsidR="00632316">
        <w:rPr>
          <w:sz w:val="26"/>
          <w:szCs w:val="26"/>
        </w:rPr>
        <w:t>confusion matrix</w:t>
      </w:r>
      <w:r>
        <w:rPr>
          <w:sz w:val="26"/>
          <w:szCs w:val="26"/>
        </w:rPr>
        <w:t xml:space="preserve"> represents terms that are cla</w:t>
      </w:r>
      <w:r w:rsidR="00F1074C">
        <w:rPr>
          <w:sz w:val="26"/>
          <w:szCs w:val="26"/>
        </w:rPr>
        <w:t xml:space="preserve">ssified </w:t>
      </w:r>
      <w:r w:rsidR="00614E60">
        <w:rPr>
          <w:sz w:val="26"/>
          <w:szCs w:val="26"/>
        </w:rPr>
        <w:t>by</w:t>
      </w:r>
      <w:r w:rsidR="00F1074C">
        <w:rPr>
          <w:sz w:val="26"/>
          <w:szCs w:val="26"/>
        </w:rPr>
        <w:t xml:space="preserve"> MLP </w:t>
      </w:r>
      <w:r w:rsidR="00614E60">
        <w:rPr>
          <w:sz w:val="26"/>
          <w:szCs w:val="26"/>
        </w:rPr>
        <w:t xml:space="preserve">with the </w:t>
      </w:r>
      <w:r w:rsidR="00195188">
        <w:rPr>
          <w:sz w:val="26"/>
          <w:szCs w:val="26"/>
        </w:rPr>
        <w:t>set-up as mentioned above:</w:t>
      </w:r>
    </w:p>
    <w:p w14:paraId="752F239C" w14:textId="77777777" w:rsidR="00195188" w:rsidRDefault="00195188" w:rsidP="00FA045D">
      <w:pPr>
        <w:jc w:val="both"/>
        <w:rPr>
          <w:sz w:val="26"/>
          <w:szCs w:val="26"/>
        </w:rPr>
      </w:pPr>
    </w:p>
    <w:p w14:paraId="21E62178" w14:textId="77777777" w:rsidR="005327F2" w:rsidRDefault="005327F2" w:rsidP="007E6F04">
      <w:pPr>
        <w:rPr>
          <w:sz w:val="26"/>
          <w:szCs w:val="26"/>
        </w:rPr>
      </w:pPr>
    </w:p>
    <w:tbl>
      <w:tblPr>
        <w:tblpPr w:leftFromText="180" w:rightFromText="180" w:vertAnchor="text" w:horzAnchor="margin" w:tblpY="105"/>
        <w:tblW w:w="9933" w:type="dxa"/>
        <w:tblCellMar>
          <w:left w:w="0" w:type="dxa"/>
          <w:right w:w="0" w:type="dxa"/>
        </w:tblCellMar>
        <w:tblLook w:val="04A0" w:firstRow="1" w:lastRow="0" w:firstColumn="1" w:lastColumn="0" w:noHBand="0" w:noVBand="1"/>
      </w:tblPr>
      <w:tblGrid>
        <w:gridCol w:w="2451"/>
        <w:gridCol w:w="2631"/>
        <w:gridCol w:w="2124"/>
        <w:gridCol w:w="1221"/>
        <w:gridCol w:w="1506"/>
      </w:tblGrid>
      <w:tr w:rsidR="003E67D8" w14:paraId="65DA682C" w14:textId="77777777" w:rsidTr="003E67D8">
        <w:trPr>
          <w:trHeight w:val="300"/>
        </w:trPr>
        <w:tc>
          <w:tcPr>
            <w:tcW w:w="2451"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tcMar>
              <w:top w:w="0" w:type="dxa"/>
              <w:left w:w="108" w:type="dxa"/>
              <w:bottom w:w="0" w:type="dxa"/>
              <w:right w:w="108" w:type="dxa"/>
            </w:tcMar>
            <w:vAlign w:val="bottom"/>
            <w:hideMark/>
          </w:tcPr>
          <w:p w14:paraId="494A96AF" w14:textId="77777777" w:rsidR="003E67D8" w:rsidRDefault="003E67D8" w:rsidP="003E67D8">
            <w:pPr>
              <w:rPr>
                <w:rFonts w:ascii="Calibri" w:hAnsi="Calibri" w:cs="Calibri"/>
                <w:b/>
                <w:bCs/>
                <w:color w:val="000000"/>
              </w:rPr>
            </w:pPr>
            <w:r>
              <w:rPr>
                <w:rFonts w:ascii="Calibri" w:hAnsi="Calibri" w:cs="Calibri"/>
                <w:b/>
                <w:bCs/>
                <w:color w:val="000000"/>
              </w:rPr>
              <w:t>Classification Methods</w:t>
            </w:r>
          </w:p>
        </w:tc>
        <w:tc>
          <w:tcPr>
            <w:tcW w:w="2631" w:type="dxa"/>
            <w:tcBorders>
              <w:top w:val="single" w:sz="8" w:space="0" w:color="auto"/>
              <w:left w:val="nil"/>
              <w:bottom w:val="single" w:sz="8" w:space="0" w:color="auto"/>
              <w:right w:val="single" w:sz="8" w:space="0" w:color="auto"/>
            </w:tcBorders>
            <w:shd w:val="clear" w:color="auto" w:fill="808080" w:themeFill="background1" w:themeFillShade="80"/>
            <w:noWrap/>
            <w:tcMar>
              <w:top w:w="0" w:type="dxa"/>
              <w:left w:w="108" w:type="dxa"/>
              <w:bottom w:w="0" w:type="dxa"/>
              <w:right w:w="108" w:type="dxa"/>
            </w:tcMar>
            <w:vAlign w:val="bottom"/>
            <w:hideMark/>
          </w:tcPr>
          <w:p w14:paraId="4D83A4E5" w14:textId="77777777" w:rsidR="003E67D8" w:rsidRDefault="003E67D8" w:rsidP="003E67D8">
            <w:pPr>
              <w:rPr>
                <w:rFonts w:ascii="Calibri" w:hAnsi="Calibri" w:cs="Calibri"/>
                <w:b/>
                <w:bCs/>
                <w:color w:val="000000"/>
              </w:rPr>
            </w:pPr>
            <w:r>
              <w:rPr>
                <w:rFonts w:ascii="Calibri" w:hAnsi="Calibri" w:cs="Calibri"/>
                <w:b/>
                <w:bCs/>
                <w:color w:val="000000"/>
              </w:rPr>
              <w:t>Methodology</w:t>
            </w:r>
          </w:p>
        </w:tc>
        <w:tc>
          <w:tcPr>
            <w:tcW w:w="2124" w:type="dxa"/>
            <w:tcBorders>
              <w:top w:val="single" w:sz="8" w:space="0" w:color="auto"/>
              <w:left w:val="nil"/>
              <w:bottom w:val="single" w:sz="8" w:space="0" w:color="auto"/>
              <w:right w:val="single" w:sz="8" w:space="0" w:color="auto"/>
            </w:tcBorders>
            <w:shd w:val="clear" w:color="auto" w:fill="808080" w:themeFill="background1" w:themeFillShade="80"/>
            <w:noWrap/>
            <w:tcMar>
              <w:top w:w="0" w:type="dxa"/>
              <w:left w:w="108" w:type="dxa"/>
              <w:bottom w:w="0" w:type="dxa"/>
              <w:right w:w="108" w:type="dxa"/>
            </w:tcMar>
            <w:vAlign w:val="bottom"/>
            <w:hideMark/>
          </w:tcPr>
          <w:p w14:paraId="4E59BF8E" w14:textId="77777777" w:rsidR="003E67D8" w:rsidRDefault="003E67D8" w:rsidP="003E67D8">
            <w:pPr>
              <w:rPr>
                <w:rFonts w:ascii="Calibri" w:hAnsi="Calibri" w:cs="Calibri"/>
                <w:b/>
                <w:bCs/>
                <w:color w:val="000000"/>
              </w:rPr>
            </w:pPr>
            <w:r>
              <w:rPr>
                <w:rFonts w:ascii="Calibri" w:hAnsi="Calibri" w:cs="Calibri"/>
                <w:b/>
                <w:bCs/>
                <w:color w:val="000000"/>
              </w:rPr>
              <w:t>Data Processing</w:t>
            </w:r>
          </w:p>
        </w:tc>
        <w:tc>
          <w:tcPr>
            <w:tcW w:w="1221" w:type="dxa"/>
            <w:tcBorders>
              <w:top w:val="single" w:sz="8" w:space="0" w:color="auto"/>
              <w:left w:val="nil"/>
              <w:bottom w:val="single" w:sz="8" w:space="0" w:color="auto"/>
              <w:right w:val="single" w:sz="8" w:space="0" w:color="auto"/>
            </w:tcBorders>
            <w:shd w:val="clear" w:color="auto" w:fill="808080" w:themeFill="background1" w:themeFillShade="80"/>
            <w:noWrap/>
            <w:tcMar>
              <w:top w:w="0" w:type="dxa"/>
              <w:left w:w="108" w:type="dxa"/>
              <w:bottom w:w="0" w:type="dxa"/>
              <w:right w:w="108" w:type="dxa"/>
            </w:tcMar>
            <w:vAlign w:val="bottom"/>
            <w:hideMark/>
          </w:tcPr>
          <w:p w14:paraId="641686AC" w14:textId="77777777" w:rsidR="003E67D8" w:rsidRDefault="003E67D8" w:rsidP="003E67D8">
            <w:pPr>
              <w:rPr>
                <w:rFonts w:ascii="Calibri" w:hAnsi="Calibri" w:cs="Calibri"/>
                <w:b/>
                <w:bCs/>
                <w:color w:val="000000"/>
              </w:rPr>
            </w:pPr>
            <w:r>
              <w:rPr>
                <w:rFonts w:ascii="Calibri" w:hAnsi="Calibri" w:cs="Calibri"/>
                <w:b/>
                <w:bCs/>
                <w:color w:val="000000"/>
              </w:rPr>
              <w:t>R Library</w:t>
            </w:r>
          </w:p>
        </w:tc>
        <w:tc>
          <w:tcPr>
            <w:tcW w:w="1506" w:type="dxa"/>
            <w:tcBorders>
              <w:top w:val="single" w:sz="8" w:space="0" w:color="auto"/>
              <w:left w:val="nil"/>
              <w:bottom w:val="single" w:sz="8" w:space="0" w:color="auto"/>
              <w:right w:val="single" w:sz="8" w:space="0" w:color="auto"/>
            </w:tcBorders>
            <w:shd w:val="clear" w:color="auto" w:fill="808080" w:themeFill="background1" w:themeFillShade="80"/>
            <w:noWrap/>
            <w:tcMar>
              <w:top w:w="0" w:type="dxa"/>
              <w:left w:w="108" w:type="dxa"/>
              <w:bottom w:w="0" w:type="dxa"/>
              <w:right w:w="108" w:type="dxa"/>
            </w:tcMar>
            <w:vAlign w:val="bottom"/>
            <w:hideMark/>
          </w:tcPr>
          <w:p w14:paraId="4F395764" w14:textId="77777777" w:rsidR="003E67D8" w:rsidRDefault="003E67D8" w:rsidP="003E67D8">
            <w:pPr>
              <w:rPr>
                <w:rFonts w:ascii="Calibri" w:hAnsi="Calibri" w:cs="Calibri"/>
                <w:b/>
                <w:bCs/>
                <w:color w:val="000000"/>
              </w:rPr>
            </w:pPr>
            <w:r>
              <w:rPr>
                <w:rFonts w:ascii="Calibri" w:hAnsi="Calibri" w:cs="Calibri"/>
                <w:b/>
                <w:bCs/>
                <w:color w:val="000000"/>
              </w:rPr>
              <w:t>Accuracy (%)</w:t>
            </w:r>
          </w:p>
        </w:tc>
      </w:tr>
      <w:tr w:rsidR="003E67D8" w14:paraId="77B7F2E8" w14:textId="77777777" w:rsidTr="003E67D8">
        <w:trPr>
          <w:trHeight w:val="300"/>
        </w:trPr>
        <w:tc>
          <w:tcPr>
            <w:tcW w:w="24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DB5FD1" w14:textId="77777777" w:rsidR="003E67D8" w:rsidRDefault="003E67D8" w:rsidP="003E67D8">
            <w:pPr>
              <w:rPr>
                <w:rFonts w:ascii="Calibri" w:hAnsi="Calibri" w:cs="Calibri"/>
                <w:color w:val="000000"/>
              </w:rPr>
            </w:pPr>
            <w:r>
              <w:rPr>
                <w:rFonts w:ascii="Calibri" w:hAnsi="Calibri" w:cs="Calibri"/>
                <w:color w:val="000000"/>
              </w:rPr>
              <w:t>Neural Network</w:t>
            </w:r>
          </w:p>
        </w:tc>
        <w:tc>
          <w:tcPr>
            <w:tcW w:w="2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F783C2" w14:textId="77777777" w:rsidR="003E67D8" w:rsidRDefault="003E67D8" w:rsidP="003E67D8">
            <w:pPr>
              <w:rPr>
                <w:rFonts w:ascii="Calibri" w:hAnsi="Calibri" w:cs="Calibri"/>
                <w:color w:val="000000"/>
              </w:rPr>
            </w:pPr>
            <w:r>
              <w:rPr>
                <w:rFonts w:ascii="Calibri" w:hAnsi="Calibri" w:cs="Calibri"/>
                <w:color w:val="000000"/>
              </w:rPr>
              <w:t>Multilayer Perceptron</w:t>
            </w:r>
          </w:p>
        </w:tc>
        <w:tc>
          <w:tcPr>
            <w:tcW w:w="0" w:type="auto"/>
            <w:tcBorders>
              <w:top w:val="nil"/>
              <w:left w:val="nil"/>
              <w:bottom w:val="single" w:sz="8" w:space="0" w:color="000000"/>
              <w:right w:val="single" w:sz="8" w:space="0" w:color="auto"/>
            </w:tcBorders>
            <w:vAlign w:val="center"/>
            <w:hideMark/>
          </w:tcPr>
          <w:p w14:paraId="3A86711C" w14:textId="77777777" w:rsidR="003E67D8" w:rsidRDefault="003E67D8" w:rsidP="003E67D8">
            <w:pPr>
              <w:jc w:val="center"/>
              <w:rPr>
                <w:rFonts w:ascii="Calibri" w:hAnsi="Calibri" w:cs="Calibri"/>
                <w:color w:val="000000"/>
              </w:rPr>
            </w:pPr>
            <w:r>
              <w:rPr>
                <w:rFonts w:ascii="Calibri" w:hAnsi="Calibri" w:cs="Calibri"/>
                <w:color w:val="000000"/>
              </w:rPr>
              <w:t xml:space="preserve">Punctuation </w:t>
            </w:r>
            <w:r>
              <w:rPr>
                <w:rFonts w:ascii="Calibri" w:hAnsi="Calibri" w:cs="Calibri"/>
                <w:color w:val="000000"/>
              </w:rPr>
              <w:br/>
              <w:t>(comma separator)</w:t>
            </w:r>
          </w:p>
        </w:tc>
        <w:tc>
          <w:tcPr>
            <w:tcW w:w="12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AE0B86" w14:textId="77777777" w:rsidR="003E67D8" w:rsidRDefault="003E67D8" w:rsidP="003E67D8">
            <w:pPr>
              <w:rPr>
                <w:rFonts w:ascii="Calibri" w:hAnsi="Calibri" w:cs="Calibri"/>
                <w:color w:val="000000"/>
              </w:rPr>
            </w:pPr>
            <w:r>
              <w:rPr>
                <w:rFonts w:ascii="Calibri" w:hAnsi="Calibri" w:cs="Calibri"/>
                <w:color w:val="000000"/>
              </w:rPr>
              <w:t>RSNNS</w:t>
            </w:r>
          </w:p>
        </w:tc>
        <w:tc>
          <w:tcPr>
            <w:tcW w:w="15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FCF10A" w14:textId="77777777" w:rsidR="003E67D8" w:rsidRDefault="003E67D8" w:rsidP="003E67D8">
            <w:pPr>
              <w:jc w:val="center"/>
              <w:rPr>
                <w:rFonts w:ascii="Calibri" w:hAnsi="Calibri" w:cs="Calibri"/>
                <w:color w:val="000000"/>
              </w:rPr>
            </w:pPr>
            <w:r>
              <w:rPr>
                <w:rFonts w:ascii="Calibri" w:hAnsi="Calibri" w:cs="Calibri"/>
                <w:color w:val="000000"/>
              </w:rPr>
              <w:t>89</w:t>
            </w:r>
          </w:p>
        </w:tc>
      </w:tr>
    </w:tbl>
    <w:p w14:paraId="7B6DF3F5" w14:textId="77777777" w:rsidR="003E67D8" w:rsidRDefault="003E67D8" w:rsidP="007E6F04">
      <w:pPr>
        <w:rPr>
          <w:sz w:val="26"/>
          <w:szCs w:val="26"/>
        </w:rPr>
      </w:pPr>
    </w:p>
    <w:p w14:paraId="4434EAA6" w14:textId="77777777" w:rsidR="003E67D8" w:rsidRDefault="003E67D8" w:rsidP="007E6F04">
      <w:pPr>
        <w:rPr>
          <w:sz w:val="26"/>
          <w:szCs w:val="26"/>
        </w:rPr>
      </w:pPr>
    </w:p>
    <w:tbl>
      <w:tblPr>
        <w:tblW w:w="8984" w:type="dxa"/>
        <w:tblLook w:val="04A0" w:firstRow="1" w:lastRow="0" w:firstColumn="1" w:lastColumn="0" w:noHBand="0" w:noVBand="1"/>
      </w:tblPr>
      <w:tblGrid>
        <w:gridCol w:w="960"/>
        <w:gridCol w:w="1391"/>
        <w:gridCol w:w="1265"/>
        <w:gridCol w:w="971"/>
        <w:gridCol w:w="1390"/>
        <w:gridCol w:w="833"/>
        <w:gridCol w:w="724"/>
        <w:gridCol w:w="683"/>
        <w:gridCol w:w="767"/>
      </w:tblGrid>
      <w:tr w:rsidR="00632316" w:rsidRPr="00632316" w14:paraId="5416641B" w14:textId="77777777" w:rsidTr="003E67D8">
        <w:trPr>
          <w:trHeight w:val="315"/>
        </w:trPr>
        <w:tc>
          <w:tcPr>
            <w:tcW w:w="960" w:type="dxa"/>
            <w:tcBorders>
              <w:top w:val="nil"/>
              <w:left w:val="nil"/>
              <w:bottom w:val="nil"/>
              <w:right w:val="nil"/>
            </w:tcBorders>
            <w:shd w:val="clear" w:color="auto" w:fill="auto"/>
            <w:noWrap/>
            <w:vAlign w:val="bottom"/>
            <w:hideMark/>
          </w:tcPr>
          <w:p w14:paraId="459472E8" w14:textId="77777777" w:rsidR="00632316" w:rsidRPr="00632316" w:rsidRDefault="00632316" w:rsidP="00632316">
            <w:pPr>
              <w:spacing w:after="0" w:line="240" w:lineRule="auto"/>
              <w:rPr>
                <w:rFonts w:ascii="Times New Roman" w:eastAsia="Times New Roman" w:hAnsi="Times New Roman" w:cs="Times New Roman"/>
                <w:sz w:val="24"/>
                <w:szCs w:val="24"/>
              </w:rPr>
            </w:pPr>
          </w:p>
        </w:tc>
        <w:tc>
          <w:tcPr>
            <w:tcW w:w="8024"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B09051F" w14:textId="77777777" w:rsidR="00632316" w:rsidRPr="00632316" w:rsidRDefault="00632316" w:rsidP="00632316">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Confusion Matrix</w:t>
            </w:r>
          </w:p>
        </w:tc>
      </w:tr>
      <w:tr w:rsidR="00632316" w:rsidRPr="00632316" w14:paraId="4EA749FC" w14:textId="77777777" w:rsidTr="003E67D8">
        <w:trPr>
          <w:trHeight w:val="315"/>
        </w:trPr>
        <w:tc>
          <w:tcPr>
            <w:tcW w:w="960" w:type="dxa"/>
            <w:tcBorders>
              <w:top w:val="nil"/>
              <w:left w:val="nil"/>
              <w:bottom w:val="nil"/>
              <w:right w:val="nil"/>
            </w:tcBorders>
            <w:shd w:val="clear" w:color="auto" w:fill="auto"/>
            <w:noWrap/>
            <w:vAlign w:val="bottom"/>
            <w:hideMark/>
          </w:tcPr>
          <w:p w14:paraId="7A0B44BC" w14:textId="77777777" w:rsidR="00632316" w:rsidRPr="00632316" w:rsidRDefault="00632316" w:rsidP="00632316">
            <w:pPr>
              <w:spacing w:after="0" w:line="240" w:lineRule="auto"/>
              <w:jc w:val="center"/>
              <w:rPr>
                <w:rFonts w:ascii="Calibri" w:eastAsia="Times New Roman" w:hAnsi="Calibri" w:cs="Times New Roman"/>
                <w:b/>
                <w:bCs/>
                <w:color w:val="000000"/>
              </w:rPr>
            </w:pPr>
          </w:p>
        </w:tc>
        <w:tc>
          <w:tcPr>
            <w:tcW w:w="1391" w:type="dxa"/>
            <w:tcBorders>
              <w:top w:val="nil"/>
              <w:left w:val="nil"/>
              <w:bottom w:val="nil"/>
              <w:right w:val="nil"/>
            </w:tcBorders>
            <w:shd w:val="clear" w:color="auto" w:fill="auto"/>
            <w:noWrap/>
            <w:vAlign w:val="bottom"/>
            <w:hideMark/>
          </w:tcPr>
          <w:p w14:paraId="1D58D3D7"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5183"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3C3962D" w14:textId="77777777" w:rsidR="00632316" w:rsidRPr="00632316" w:rsidRDefault="00632316" w:rsidP="00632316">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Test Data</w:t>
            </w:r>
            <w:r w:rsidR="00614E60">
              <w:rPr>
                <w:rFonts w:ascii="Calibri" w:eastAsia="Times New Roman" w:hAnsi="Calibri" w:cs="Times New Roman"/>
                <w:b/>
                <w:bCs/>
                <w:color w:val="000000"/>
              </w:rPr>
              <w:t xml:space="preserve"> – PC201708</w:t>
            </w:r>
          </w:p>
        </w:tc>
        <w:tc>
          <w:tcPr>
            <w:tcW w:w="683" w:type="dxa"/>
            <w:tcBorders>
              <w:top w:val="nil"/>
              <w:left w:val="nil"/>
              <w:bottom w:val="nil"/>
              <w:right w:val="nil"/>
            </w:tcBorders>
            <w:shd w:val="clear" w:color="auto" w:fill="auto"/>
            <w:noWrap/>
            <w:vAlign w:val="bottom"/>
            <w:hideMark/>
          </w:tcPr>
          <w:p w14:paraId="31652998" w14:textId="77777777" w:rsidR="00632316" w:rsidRPr="00632316" w:rsidRDefault="00632316" w:rsidP="00632316">
            <w:pPr>
              <w:spacing w:after="0" w:line="240" w:lineRule="auto"/>
              <w:jc w:val="center"/>
              <w:rPr>
                <w:rFonts w:ascii="Calibri" w:eastAsia="Times New Roman" w:hAnsi="Calibri" w:cs="Times New Roman"/>
                <w:b/>
                <w:bCs/>
                <w:color w:val="000000"/>
              </w:rPr>
            </w:pPr>
          </w:p>
        </w:tc>
        <w:tc>
          <w:tcPr>
            <w:tcW w:w="767" w:type="dxa"/>
            <w:tcBorders>
              <w:top w:val="nil"/>
              <w:left w:val="nil"/>
              <w:bottom w:val="nil"/>
              <w:right w:val="nil"/>
            </w:tcBorders>
            <w:shd w:val="clear" w:color="auto" w:fill="auto"/>
            <w:noWrap/>
            <w:vAlign w:val="bottom"/>
            <w:hideMark/>
          </w:tcPr>
          <w:p w14:paraId="10F97FC4" w14:textId="77777777" w:rsidR="00632316" w:rsidRPr="00632316" w:rsidRDefault="00632316" w:rsidP="00632316">
            <w:pPr>
              <w:spacing w:after="0" w:line="240" w:lineRule="auto"/>
              <w:jc w:val="center"/>
              <w:rPr>
                <w:rFonts w:ascii="Times New Roman" w:eastAsia="Times New Roman" w:hAnsi="Times New Roman" w:cs="Times New Roman"/>
                <w:sz w:val="20"/>
                <w:szCs w:val="20"/>
              </w:rPr>
            </w:pPr>
          </w:p>
        </w:tc>
      </w:tr>
      <w:tr w:rsidR="00632316" w:rsidRPr="00632316" w14:paraId="31BA214A" w14:textId="77777777" w:rsidTr="003E67D8">
        <w:trPr>
          <w:trHeight w:val="315"/>
        </w:trPr>
        <w:tc>
          <w:tcPr>
            <w:tcW w:w="960" w:type="dxa"/>
            <w:tcBorders>
              <w:top w:val="nil"/>
              <w:left w:val="nil"/>
              <w:bottom w:val="nil"/>
              <w:right w:val="nil"/>
            </w:tcBorders>
            <w:shd w:val="clear" w:color="auto" w:fill="auto"/>
            <w:noWrap/>
            <w:vAlign w:val="bottom"/>
            <w:hideMark/>
          </w:tcPr>
          <w:p w14:paraId="02CE22D7" w14:textId="77777777" w:rsidR="00632316" w:rsidRPr="00632316" w:rsidRDefault="00632316" w:rsidP="00632316">
            <w:pPr>
              <w:spacing w:after="0" w:line="240" w:lineRule="auto"/>
              <w:jc w:val="center"/>
              <w:rPr>
                <w:rFonts w:ascii="Times New Roman" w:eastAsia="Times New Roman" w:hAnsi="Times New Roman" w:cs="Times New Roman"/>
                <w:sz w:val="20"/>
                <w:szCs w:val="20"/>
              </w:rPr>
            </w:pPr>
          </w:p>
        </w:tc>
        <w:tc>
          <w:tcPr>
            <w:tcW w:w="1391" w:type="dxa"/>
            <w:tcBorders>
              <w:top w:val="single" w:sz="4" w:space="0" w:color="auto"/>
              <w:left w:val="single" w:sz="4" w:space="0" w:color="auto"/>
              <w:bottom w:val="nil"/>
              <w:right w:val="nil"/>
            </w:tcBorders>
            <w:shd w:val="clear" w:color="auto" w:fill="auto"/>
            <w:noWrap/>
            <w:vAlign w:val="bottom"/>
            <w:hideMark/>
          </w:tcPr>
          <w:p w14:paraId="391B40DD" w14:textId="77777777" w:rsidR="00632316" w:rsidRPr="00632316" w:rsidRDefault="00632316" w:rsidP="00632316">
            <w:pPr>
              <w:spacing w:after="0" w:line="240" w:lineRule="auto"/>
              <w:rPr>
                <w:rFonts w:ascii="Calibri" w:eastAsia="Times New Roman" w:hAnsi="Calibri" w:cs="Times New Roman"/>
                <w:color w:val="000000"/>
              </w:rPr>
            </w:pPr>
            <w:r w:rsidRPr="00632316">
              <w:rPr>
                <w:rFonts w:ascii="Calibri" w:eastAsia="Times New Roman" w:hAnsi="Calibri" w:cs="Times New Roman"/>
                <w:color w:val="000000"/>
              </w:rPr>
              <w:t> </w:t>
            </w:r>
          </w:p>
        </w:tc>
        <w:tc>
          <w:tcPr>
            <w:tcW w:w="1265" w:type="dxa"/>
            <w:tcBorders>
              <w:top w:val="nil"/>
              <w:left w:val="single" w:sz="8" w:space="0" w:color="auto"/>
              <w:bottom w:val="single" w:sz="8" w:space="0" w:color="auto"/>
              <w:right w:val="single" w:sz="4" w:space="0" w:color="auto"/>
            </w:tcBorders>
            <w:shd w:val="clear" w:color="auto" w:fill="auto"/>
            <w:noWrap/>
            <w:vAlign w:val="bottom"/>
            <w:hideMark/>
          </w:tcPr>
          <w:p w14:paraId="65941EF3"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MISTRESC</w:t>
            </w:r>
          </w:p>
        </w:tc>
        <w:tc>
          <w:tcPr>
            <w:tcW w:w="971" w:type="dxa"/>
            <w:tcBorders>
              <w:top w:val="nil"/>
              <w:left w:val="nil"/>
              <w:bottom w:val="single" w:sz="8" w:space="0" w:color="auto"/>
              <w:right w:val="single" w:sz="4" w:space="0" w:color="auto"/>
            </w:tcBorders>
            <w:shd w:val="clear" w:color="auto" w:fill="auto"/>
            <w:noWrap/>
            <w:vAlign w:val="bottom"/>
            <w:hideMark/>
          </w:tcPr>
          <w:p w14:paraId="7E7437C0"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MISPEC</w:t>
            </w:r>
          </w:p>
        </w:tc>
        <w:tc>
          <w:tcPr>
            <w:tcW w:w="1390" w:type="dxa"/>
            <w:tcBorders>
              <w:top w:val="nil"/>
              <w:left w:val="nil"/>
              <w:bottom w:val="single" w:sz="8" w:space="0" w:color="auto"/>
              <w:right w:val="single" w:sz="4" w:space="0" w:color="auto"/>
            </w:tcBorders>
            <w:shd w:val="clear" w:color="auto" w:fill="auto"/>
            <w:noWrap/>
            <w:vAlign w:val="bottom"/>
            <w:hideMark/>
          </w:tcPr>
          <w:p w14:paraId="4B8BBB08"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MIANTREG</w:t>
            </w:r>
          </w:p>
        </w:tc>
        <w:tc>
          <w:tcPr>
            <w:tcW w:w="833" w:type="dxa"/>
            <w:tcBorders>
              <w:top w:val="nil"/>
              <w:left w:val="nil"/>
              <w:bottom w:val="single" w:sz="8" w:space="0" w:color="auto"/>
              <w:right w:val="single" w:sz="4" w:space="0" w:color="auto"/>
            </w:tcBorders>
            <w:shd w:val="clear" w:color="auto" w:fill="auto"/>
            <w:noWrap/>
            <w:vAlign w:val="bottom"/>
            <w:hideMark/>
          </w:tcPr>
          <w:p w14:paraId="4A930C87"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MISEV</w:t>
            </w:r>
          </w:p>
        </w:tc>
        <w:tc>
          <w:tcPr>
            <w:tcW w:w="724" w:type="dxa"/>
            <w:tcBorders>
              <w:top w:val="nil"/>
              <w:left w:val="nil"/>
              <w:bottom w:val="single" w:sz="8" w:space="0" w:color="auto"/>
              <w:right w:val="single" w:sz="4" w:space="0" w:color="auto"/>
            </w:tcBorders>
            <w:shd w:val="clear" w:color="auto" w:fill="auto"/>
            <w:noWrap/>
            <w:vAlign w:val="bottom"/>
            <w:hideMark/>
          </w:tcPr>
          <w:p w14:paraId="06548318"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QVAL</w:t>
            </w:r>
          </w:p>
        </w:tc>
        <w:tc>
          <w:tcPr>
            <w:tcW w:w="683" w:type="dxa"/>
            <w:tcBorders>
              <w:top w:val="single" w:sz="8" w:space="0" w:color="auto"/>
              <w:left w:val="nil"/>
              <w:bottom w:val="single" w:sz="8" w:space="0" w:color="auto"/>
              <w:right w:val="nil"/>
            </w:tcBorders>
            <w:shd w:val="clear" w:color="auto" w:fill="auto"/>
            <w:noWrap/>
            <w:vAlign w:val="bottom"/>
            <w:hideMark/>
          </w:tcPr>
          <w:p w14:paraId="7335E058"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Total</w:t>
            </w:r>
          </w:p>
        </w:tc>
        <w:tc>
          <w:tcPr>
            <w:tcW w:w="76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4EC8BBF"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Recall</w:t>
            </w:r>
          </w:p>
        </w:tc>
      </w:tr>
      <w:tr w:rsidR="00632316" w:rsidRPr="00632316" w14:paraId="35581CE0" w14:textId="77777777" w:rsidTr="003E67D8">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bottom"/>
            <w:hideMark/>
          </w:tcPr>
          <w:p w14:paraId="4C9BD3F2" w14:textId="77777777" w:rsidR="00632316" w:rsidRPr="00632316" w:rsidRDefault="00632316" w:rsidP="00632316">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Predicted Data</w:t>
            </w:r>
          </w:p>
        </w:tc>
        <w:tc>
          <w:tcPr>
            <w:tcW w:w="1391" w:type="dxa"/>
            <w:tcBorders>
              <w:top w:val="single" w:sz="8" w:space="0" w:color="auto"/>
              <w:left w:val="nil"/>
              <w:bottom w:val="single" w:sz="4" w:space="0" w:color="auto"/>
              <w:right w:val="single" w:sz="8" w:space="0" w:color="auto"/>
            </w:tcBorders>
            <w:shd w:val="clear" w:color="auto" w:fill="auto"/>
            <w:noWrap/>
            <w:vAlign w:val="bottom"/>
            <w:hideMark/>
          </w:tcPr>
          <w:p w14:paraId="111ED05F"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MISTRESC</w:t>
            </w:r>
          </w:p>
        </w:tc>
        <w:tc>
          <w:tcPr>
            <w:tcW w:w="1265" w:type="dxa"/>
            <w:tcBorders>
              <w:top w:val="nil"/>
              <w:left w:val="nil"/>
              <w:bottom w:val="single" w:sz="4" w:space="0" w:color="auto"/>
              <w:right w:val="single" w:sz="4" w:space="0" w:color="auto"/>
            </w:tcBorders>
            <w:shd w:val="clear" w:color="000000" w:fill="DDEBF7"/>
            <w:noWrap/>
            <w:vAlign w:val="bottom"/>
            <w:hideMark/>
          </w:tcPr>
          <w:p w14:paraId="662C7DBD" w14:textId="77777777" w:rsidR="00632316" w:rsidRPr="00632316" w:rsidRDefault="00632316" w:rsidP="00614E60">
            <w:pPr>
              <w:spacing w:after="0" w:line="240" w:lineRule="auto"/>
              <w:jc w:val="center"/>
              <w:rPr>
                <w:rFonts w:ascii="Calibri" w:eastAsia="Times New Roman" w:hAnsi="Calibri" w:cs="Times New Roman"/>
                <w:color w:val="000000"/>
              </w:rPr>
            </w:pPr>
            <w:r w:rsidRPr="00632316">
              <w:rPr>
                <w:rFonts w:ascii="Calibri" w:eastAsia="Times New Roman" w:hAnsi="Calibri" w:cs="Times New Roman"/>
                <w:color w:val="000000"/>
              </w:rPr>
              <w:t>24</w:t>
            </w:r>
          </w:p>
        </w:tc>
        <w:tc>
          <w:tcPr>
            <w:tcW w:w="971" w:type="dxa"/>
            <w:tcBorders>
              <w:top w:val="nil"/>
              <w:left w:val="nil"/>
              <w:bottom w:val="single" w:sz="4" w:space="0" w:color="auto"/>
              <w:right w:val="single" w:sz="4" w:space="0" w:color="auto"/>
            </w:tcBorders>
            <w:shd w:val="clear" w:color="auto" w:fill="auto"/>
            <w:noWrap/>
            <w:vAlign w:val="bottom"/>
            <w:hideMark/>
          </w:tcPr>
          <w:p w14:paraId="53E0A276"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390" w:type="dxa"/>
            <w:tcBorders>
              <w:top w:val="nil"/>
              <w:left w:val="nil"/>
              <w:bottom w:val="single" w:sz="4" w:space="0" w:color="auto"/>
              <w:right w:val="single" w:sz="4" w:space="0" w:color="auto"/>
            </w:tcBorders>
            <w:shd w:val="clear" w:color="auto" w:fill="auto"/>
            <w:noWrap/>
            <w:vAlign w:val="bottom"/>
            <w:hideMark/>
          </w:tcPr>
          <w:p w14:paraId="6BC56ACC"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833" w:type="dxa"/>
            <w:tcBorders>
              <w:top w:val="nil"/>
              <w:left w:val="nil"/>
              <w:bottom w:val="single" w:sz="4" w:space="0" w:color="auto"/>
              <w:right w:val="single" w:sz="4" w:space="0" w:color="auto"/>
            </w:tcBorders>
            <w:shd w:val="clear" w:color="auto" w:fill="auto"/>
            <w:noWrap/>
            <w:vAlign w:val="bottom"/>
            <w:hideMark/>
          </w:tcPr>
          <w:p w14:paraId="0F9EFD76"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4" w:type="dxa"/>
            <w:tcBorders>
              <w:top w:val="nil"/>
              <w:left w:val="nil"/>
              <w:bottom w:val="single" w:sz="4" w:space="0" w:color="auto"/>
              <w:right w:val="single" w:sz="8" w:space="0" w:color="auto"/>
            </w:tcBorders>
            <w:shd w:val="clear" w:color="auto" w:fill="auto"/>
            <w:noWrap/>
            <w:vAlign w:val="bottom"/>
            <w:hideMark/>
          </w:tcPr>
          <w:p w14:paraId="616E5A54" w14:textId="77777777" w:rsidR="00632316" w:rsidRPr="00632316" w:rsidRDefault="00632316" w:rsidP="00614E60">
            <w:pPr>
              <w:spacing w:after="0" w:line="240" w:lineRule="auto"/>
              <w:jc w:val="center"/>
              <w:rPr>
                <w:rFonts w:ascii="Calibri" w:eastAsia="Times New Roman" w:hAnsi="Calibri" w:cs="Times New Roman"/>
                <w:color w:val="000000"/>
              </w:rPr>
            </w:pPr>
            <w:r w:rsidRPr="00632316">
              <w:rPr>
                <w:rFonts w:ascii="Calibri" w:eastAsia="Times New Roman" w:hAnsi="Calibri" w:cs="Times New Roman"/>
                <w:color w:val="000000"/>
              </w:rPr>
              <w:t>1</w:t>
            </w:r>
          </w:p>
        </w:tc>
        <w:tc>
          <w:tcPr>
            <w:tcW w:w="683" w:type="dxa"/>
            <w:tcBorders>
              <w:top w:val="nil"/>
              <w:left w:val="nil"/>
              <w:bottom w:val="single" w:sz="4" w:space="0" w:color="auto"/>
              <w:right w:val="nil"/>
            </w:tcBorders>
            <w:shd w:val="clear" w:color="auto" w:fill="auto"/>
            <w:noWrap/>
            <w:vAlign w:val="bottom"/>
            <w:hideMark/>
          </w:tcPr>
          <w:p w14:paraId="618C26C6"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25</w:t>
            </w:r>
          </w:p>
        </w:tc>
        <w:tc>
          <w:tcPr>
            <w:tcW w:w="767" w:type="dxa"/>
            <w:tcBorders>
              <w:top w:val="nil"/>
              <w:left w:val="single" w:sz="4" w:space="0" w:color="auto"/>
              <w:bottom w:val="single" w:sz="4" w:space="0" w:color="auto"/>
              <w:right w:val="single" w:sz="8" w:space="0" w:color="auto"/>
            </w:tcBorders>
            <w:shd w:val="clear" w:color="auto" w:fill="auto"/>
            <w:noWrap/>
            <w:vAlign w:val="bottom"/>
            <w:hideMark/>
          </w:tcPr>
          <w:p w14:paraId="58B86719"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0.96</w:t>
            </w:r>
          </w:p>
        </w:tc>
      </w:tr>
      <w:tr w:rsidR="00632316" w:rsidRPr="00632316" w14:paraId="4F60B1AE" w14:textId="77777777" w:rsidTr="003E67D8">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10587B58" w14:textId="77777777" w:rsidR="00632316" w:rsidRPr="00632316" w:rsidRDefault="00632316" w:rsidP="00632316">
            <w:pPr>
              <w:spacing w:after="0" w:line="240" w:lineRule="auto"/>
              <w:rPr>
                <w:rFonts w:ascii="Calibri" w:eastAsia="Times New Roman" w:hAnsi="Calibri" w:cs="Times New Roman"/>
                <w:b/>
                <w:bCs/>
                <w:color w:val="000000"/>
              </w:rPr>
            </w:pPr>
          </w:p>
        </w:tc>
        <w:tc>
          <w:tcPr>
            <w:tcW w:w="1391" w:type="dxa"/>
            <w:tcBorders>
              <w:top w:val="nil"/>
              <w:left w:val="nil"/>
              <w:bottom w:val="single" w:sz="4" w:space="0" w:color="auto"/>
              <w:right w:val="single" w:sz="8" w:space="0" w:color="auto"/>
            </w:tcBorders>
            <w:shd w:val="clear" w:color="auto" w:fill="auto"/>
            <w:noWrap/>
            <w:vAlign w:val="bottom"/>
            <w:hideMark/>
          </w:tcPr>
          <w:p w14:paraId="2D809AC3"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MISPEC</w:t>
            </w:r>
          </w:p>
        </w:tc>
        <w:tc>
          <w:tcPr>
            <w:tcW w:w="1265" w:type="dxa"/>
            <w:tcBorders>
              <w:top w:val="nil"/>
              <w:left w:val="nil"/>
              <w:bottom w:val="single" w:sz="4" w:space="0" w:color="auto"/>
              <w:right w:val="single" w:sz="4" w:space="0" w:color="auto"/>
            </w:tcBorders>
            <w:shd w:val="clear" w:color="auto" w:fill="auto"/>
            <w:noWrap/>
            <w:vAlign w:val="bottom"/>
            <w:hideMark/>
          </w:tcPr>
          <w:p w14:paraId="39BE02BB"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971" w:type="dxa"/>
            <w:tcBorders>
              <w:top w:val="nil"/>
              <w:left w:val="nil"/>
              <w:bottom w:val="single" w:sz="4" w:space="0" w:color="auto"/>
              <w:right w:val="single" w:sz="4" w:space="0" w:color="auto"/>
            </w:tcBorders>
            <w:shd w:val="clear" w:color="000000" w:fill="DDEBF7"/>
            <w:noWrap/>
            <w:vAlign w:val="bottom"/>
            <w:hideMark/>
          </w:tcPr>
          <w:p w14:paraId="497B9C3F" w14:textId="77777777" w:rsidR="00632316" w:rsidRPr="00632316" w:rsidRDefault="00632316" w:rsidP="00614E60">
            <w:pPr>
              <w:spacing w:after="0" w:line="240" w:lineRule="auto"/>
              <w:jc w:val="center"/>
              <w:rPr>
                <w:rFonts w:ascii="Calibri" w:eastAsia="Times New Roman" w:hAnsi="Calibri" w:cs="Times New Roman"/>
                <w:color w:val="000000"/>
              </w:rPr>
            </w:pPr>
            <w:r w:rsidRPr="00632316">
              <w:rPr>
                <w:rFonts w:ascii="Calibri" w:eastAsia="Times New Roman" w:hAnsi="Calibri" w:cs="Times New Roman"/>
                <w:color w:val="000000"/>
              </w:rPr>
              <w:t>20</w:t>
            </w:r>
          </w:p>
        </w:tc>
        <w:tc>
          <w:tcPr>
            <w:tcW w:w="1390" w:type="dxa"/>
            <w:tcBorders>
              <w:top w:val="nil"/>
              <w:left w:val="nil"/>
              <w:bottom w:val="single" w:sz="4" w:space="0" w:color="auto"/>
              <w:right w:val="single" w:sz="4" w:space="0" w:color="auto"/>
            </w:tcBorders>
            <w:shd w:val="clear" w:color="auto" w:fill="auto"/>
            <w:noWrap/>
            <w:vAlign w:val="bottom"/>
            <w:hideMark/>
          </w:tcPr>
          <w:p w14:paraId="2625EE56" w14:textId="77777777" w:rsidR="00632316" w:rsidRPr="00632316" w:rsidRDefault="00632316" w:rsidP="00614E60">
            <w:pPr>
              <w:spacing w:after="0" w:line="240" w:lineRule="auto"/>
              <w:jc w:val="center"/>
              <w:rPr>
                <w:rFonts w:ascii="Calibri" w:eastAsia="Times New Roman" w:hAnsi="Calibri" w:cs="Times New Roman"/>
                <w:color w:val="000000"/>
              </w:rPr>
            </w:pPr>
            <w:r w:rsidRPr="00632316">
              <w:rPr>
                <w:rFonts w:ascii="Calibri" w:eastAsia="Times New Roman" w:hAnsi="Calibri" w:cs="Times New Roman"/>
                <w:color w:val="000000"/>
              </w:rPr>
              <w:t>4</w:t>
            </w:r>
          </w:p>
        </w:tc>
        <w:tc>
          <w:tcPr>
            <w:tcW w:w="833" w:type="dxa"/>
            <w:tcBorders>
              <w:top w:val="nil"/>
              <w:left w:val="nil"/>
              <w:bottom w:val="single" w:sz="4" w:space="0" w:color="auto"/>
              <w:right w:val="single" w:sz="4" w:space="0" w:color="auto"/>
            </w:tcBorders>
            <w:shd w:val="clear" w:color="auto" w:fill="auto"/>
            <w:noWrap/>
            <w:vAlign w:val="bottom"/>
            <w:hideMark/>
          </w:tcPr>
          <w:p w14:paraId="18351DBB"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4" w:type="dxa"/>
            <w:tcBorders>
              <w:top w:val="nil"/>
              <w:left w:val="nil"/>
              <w:bottom w:val="single" w:sz="4" w:space="0" w:color="auto"/>
              <w:right w:val="single" w:sz="8" w:space="0" w:color="auto"/>
            </w:tcBorders>
            <w:shd w:val="clear" w:color="auto" w:fill="auto"/>
            <w:noWrap/>
            <w:vAlign w:val="bottom"/>
            <w:hideMark/>
          </w:tcPr>
          <w:p w14:paraId="48C24329" w14:textId="77777777" w:rsidR="00632316" w:rsidRPr="00632316" w:rsidRDefault="00632316" w:rsidP="00614E60">
            <w:pPr>
              <w:spacing w:after="0" w:line="240" w:lineRule="auto"/>
              <w:jc w:val="center"/>
              <w:rPr>
                <w:rFonts w:ascii="Calibri" w:eastAsia="Times New Roman" w:hAnsi="Calibri" w:cs="Times New Roman"/>
                <w:color w:val="000000"/>
              </w:rPr>
            </w:pPr>
            <w:r w:rsidRPr="00632316">
              <w:rPr>
                <w:rFonts w:ascii="Calibri" w:eastAsia="Times New Roman" w:hAnsi="Calibri" w:cs="Times New Roman"/>
                <w:color w:val="000000"/>
              </w:rPr>
              <w:t>2</w:t>
            </w:r>
          </w:p>
        </w:tc>
        <w:tc>
          <w:tcPr>
            <w:tcW w:w="683" w:type="dxa"/>
            <w:tcBorders>
              <w:top w:val="nil"/>
              <w:left w:val="nil"/>
              <w:bottom w:val="single" w:sz="4" w:space="0" w:color="auto"/>
              <w:right w:val="nil"/>
            </w:tcBorders>
            <w:shd w:val="clear" w:color="auto" w:fill="auto"/>
            <w:noWrap/>
            <w:vAlign w:val="bottom"/>
            <w:hideMark/>
          </w:tcPr>
          <w:p w14:paraId="5F974686"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26</w:t>
            </w:r>
          </w:p>
        </w:tc>
        <w:tc>
          <w:tcPr>
            <w:tcW w:w="767" w:type="dxa"/>
            <w:tcBorders>
              <w:top w:val="nil"/>
              <w:left w:val="single" w:sz="4" w:space="0" w:color="auto"/>
              <w:bottom w:val="single" w:sz="4" w:space="0" w:color="auto"/>
              <w:right w:val="single" w:sz="8" w:space="0" w:color="auto"/>
            </w:tcBorders>
            <w:shd w:val="clear" w:color="auto" w:fill="auto"/>
            <w:noWrap/>
            <w:vAlign w:val="bottom"/>
            <w:hideMark/>
          </w:tcPr>
          <w:p w14:paraId="49795939"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0.77</w:t>
            </w:r>
          </w:p>
        </w:tc>
      </w:tr>
      <w:tr w:rsidR="00632316" w:rsidRPr="00632316" w14:paraId="3AD9D01B" w14:textId="77777777" w:rsidTr="003E67D8">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4B8D2F1C" w14:textId="77777777" w:rsidR="00632316" w:rsidRPr="00632316" w:rsidRDefault="00632316" w:rsidP="00632316">
            <w:pPr>
              <w:spacing w:after="0" w:line="240" w:lineRule="auto"/>
              <w:rPr>
                <w:rFonts w:ascii="Calibri" w:eastAsia="Times New Roman" w:hAnsi="Calibri" w:cs="Times New Roman"/>
                <w:b/>
                <w:bCs/>
                <w:color w:val="000000"/>
              </w:rPr>
            </w:pPr>
          </w:p>
        </w:tc>
        <w:tc>
          <w:tcPr>
            <w:tcW w:w="1391" w:type="dxa"/>
            <w:tcBorders>
              <w:top w:val="nil"/>
              <w:left w:val="nil"/>
              <w:bottom w:val="single" w:sz="4" w:space="0" w:color="auto"/>
              <w:right w:val="single" w:sz="8" w:space="0" w:color="auto"/>
            </w:tcBorders>
            <w:shd w:val="clear" w:color="auto" w:fill="auto"/>
            <w:noWrap/>
            <w:vAlign w:val="bottom"/>
            <w:hideMark/>
          </w:tcPr>
          <w:p w14:paraId="02552948"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MIANTREG</w:t>
            </w:r>
          </w:p>
        </w:tc>
        <w:tc>
          <w:tcPr>
            <w:tcW w:w="1265" w:type="dxa"/>
            <w:tcBorders>
              <w:top w:val="nil"/>
              <w:left w:val="nil"/>
              <w:bottom w:val="single" w:sz="4" w:space="0" w:color="auto"/>
              <w:right w:val="single" w:sz="4" w:space="0" w:color="auto"/>
            </w:tcBorders>
            <w:shd w:val="clear" w:color="auto" w:fill="auto"/>
            <w:noWrap/>
            <w:vAlign w:val="bottom"/>
            <w:hideMark/>
          </w:tcPr>
          <w:p w14:paraId="181D560C"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971" w:type="dxa"/>
            <w:tcBorders>
              <w:top w:val="nil"/>
              <w:left w:val="nil"/>
              <w:bottom w:val="single" w:sz="4" w:space="0" w:color="auto"/>
              <w:right w:val="single" w:sz="4" w:space="0" w:color="auto"/>
            </w:tcBorders>
            <w:shd w:val="clear" w:color="auto" w:fill="auto"/>
            <w:noWrap/>
            <w:vAlign w:val="bottom"/>
            <w:hideMark/>
          </w:tcPr>
          <w:p w14:paraId="387AC841"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390" w:type="dxa"/>
            <w:tcBorders>
              <w:top w:val="nil"/>
              <w:left w:val="nil"/>
              <w:bottom w:val="single" w:sz="4" w:space="0" w:color="auto"/>
              <w:right w:val="single" w:sz="4" w:space="0" w:color="auto"/>
            </w:tcBorders>
            <w:shd w:val="clear" w:color="000000" w:fill="DDEBF7"/>
            <w:noWrap/>
            <w:vAlign w:val="bottom"/>
            <w:hideMark/>
          </w:tcPr>
          <w:p w14:paraId="59613171"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833" w:type="dxa"/>
            <w:tcBorders>
              <w:top w:val="nil"/>
              <w:left w:val="nil"/>
              <w:bottom w:val="single" w:sz="4" w:space="0" w:color="auto"/>
              <w:right w:val="single" w:sz="4" w:space="0" w:color="auto"/>
            </w:tcBorders>
            <w:shd w:val="clear" w:color="auto" w:fill="auto"/>
            <w:noWrap/>
            <w:vAlign w:val="bottom"/>
            <w:hideMark/>
          </w:tcPr>
          <w:p w14:paraId="00B28F00"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4" w:type="dxa"/>
            <w:tcBorders>
              <w:top w:val="nil"/>
              <w:left w:val="nil"/>
              <w:bottom w:val="single" w:sz="4" w:space="0" w:color="auto"/>
              <w:right w:val="single" w:sz="8" w:space="0" w:color="auto"/>
            </w:tcBorders>
            <w:shd w:val="clear" w:color="auto" w:fill="auto"/>
            <w:noWrap/>
            <w:vAlign w:val="bottom"/>
            <w:hideMark/>
          </w:tcPr>
          <w:p w14:paraId="5D24A966"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683" w:type="dxa"/>
            <w:tcBorders>
              <w:top w:val="nil"/>
              <w:left w:val="nil"/>
              <w:bottom w:val="single" w:sz="4" w:space="0" w:color="auto"/>
              <w:right w:val="nil"/>
            </w:tcBorders>
            <w:shd w:val="clear" w:color="auto" w:fill="auto"/>
            <w:noWrap/>
            <w:vAlign w:val="bottom"/>
            <w:hideMark/>
          </w:tcPr>
          <w:p w14:paraId="628382F3"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0</w:t>
            </w:r>
          </w:p>
        </w:tc>
        <w:tc>
          <w:tcPr>
            <w:tcW w:w="767" w:type="dxa"/>
            <w:tcBorders>
              <w:top w:val="nil"/>
              <w:left w:val="single" w:sz="4" w:space="0" w:color="auto"/>
              <w:bottom w:val="single" w:sz="4" w:space="0" w:color="auto"/>
              <w:right w:val="single" w:sz="8" w:space="0" w:color="auto"/>
            </w:tcBorders>
            <w:shd w:val="clear" w:color="000000" w:fill="F2F2F2"/>
            <w:noWrap/>
            <w:vAlign w:val="bottom"/>
            <w:hideMark/>
          </w:tcPr>
          <w:p w14:paraId="6A4381DC" w14:textId="77777777" w:rsidR="00632316" w:rsidRPr="00632316" w:rsidRDefault="00614E60" w:rsidP="00614E60">
            <w:pPr>
              <w:spacing w:after="0" w:line="240" w:lineRule="auto"/>
              <w:jc w:val="center"/>
              <w:rPr>
                <w:rFonts w:ascii="Calibri" w:eastAsia="Times New Roman" w:hAnsi="Calibri" w:cs="Times New Roman"/>
                <w:b/>
                <w:bCs/>
                <w:color w:val="000000"/>
              </w:rPr>
            </w:pPr>
            <w:proofErr w:type="spellStart"/>
            <w:r>
              <w:rPr>
                <w:rFonts w:ascii="Calibri" w:eastAsia="Times New Roman" w:hAnsi="Calibri" w:cs="Times New Roman"/>
                <w:b/>
                <w:bCs/>
                <w:color w:val="000000"/>
              </w:rPr>
              <w:t>NaN</w:t>
            </w:r>
            <w:proofErr w:type="spellEnd"/>
          </w:p>
        </w:tc>
      </w:tr>
      <w:tr w:rsidR="00632316" w:rsidRPr="00632316" w14:paraId="5C22134F" w14:textId="77777777" w:rsidTr="003E67D8">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11166F6" w14:textId="77777777" w:rsidR="00632316" w:rsidRPr="00632316" w:rsidRDefault="00632316" w:rsidP="00632316">
            <w:pPr>
              <w:spacing w:after="0" w:line="240" w:lineRule="auto"/>
              <w:rPr>
                <w:rFonts w:ascii="Calibri" w:eastAsia="Times New Roman" w:hAnsi="Calibri" w:cs="Times New Roman"/>
                <w:b/>
                <w:bCs/>
                <w:color w:val="000000"/>
              </w:rPr>
            </w:pPr>
          </w:p>
        </w:tc>
        <w:tc>
          <w:tcPr>
            <w:tcW w:w="1391" w:type="dxa"/>
            <w:tcBorders>
              <w:top w:val="nil"/>
              <w:left w:val="nil"/>
              <w:bottom w:val="single" w:sz="4" w:space="0" w:color="auto"/>
              <w:right w:val="single" w:sz="8" w:space="0" w:color="auto"/>
            </w:tcBorders>
            <w:shd w:val="clear" w:color="auto" w:fill="auto"/>
            <w:noWrap/>
            <w:vAlign w:val="bottom"/>
            <w:hideMark/>
          </w:tcPr>
          <w:p w14:paraId="23A7CC54"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MISEV</w:t>
            </w:r>
          </w:p>
        </w:tc>
        <w:tc>
          <w:tcPr>
            <w:tcW w:w="1265" w:type="dxa"/>
            <w:tcBorders>
              <w:top w:val="nil"/>
              <w:left w:val="nil"/>
              <w:bottom w:val="single" w:sz="4" w:space="0" w:color="auto"/>
              <w:right w:val="single" w:sz="4" w:space="0" w:color="auto"/>
            </w:tcBorders>
            <w:shd w:val="clear" w:color="auto" w:fill="auto"/>
            <w:noWrap/>
            <w:vAlign w:val="bottom"/>
            <w:hideMark/>
          </w:tcPr>
          <w:p w14:paraId="775667A3"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971" w:type="dxa"/>
            <w:tcBorders>
              <w:top w:val="nil"/>
              <w:left w:val="nil"/>
              <w:bottom w:val="single" w:sz="4" w:space="0" w:color="auto"/>
              <w:right w:val="single" w:sz="4" w:space="0" w:color="auto"/>
            </w:tcBorders>
            <w:shd w:val="clear" w:color="auto" w:fill="auto"/>
            <w:noWrap/>
            <w:vAlign w:val="bottom"/>
            <w:hideMark/>
          </w:tcPr>
          <w:p w14:paraId="48D2D01A"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390" w:type="dxa"/>
            <w:tcBorders>
              <w:top w:val="nil"/>
              <w:left w:val="nil"/>
              <w:bottom w:val="single" w:sz="4" w:space="0" w:color="auto"/>
              <w:right w:val="single" w:sz="4" w:space="0" w:color="auto"/>
            </w:tcBorders>
            <w:shd w:val="clear" w:color="auto" w:fill="auto"/>
            <w:noWrap/>
            <w:vAlign w:val="bottom"/>
            <w:hideMark/>
          </w:tcPr>
          <w:p w14:paraId="5A8640E6"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833" w:type="dxa"/>
            <w:tcBorders>
              <w:top w:val="nil"/>
              <w:left w:val="nil"/>
              <w:bottom w:val="single" w:sz="4" w:space="0" w:color="auto"/>
              <w:right w:val="single" w:sz="4" w:space="0" w:color="auto"/>
            </w:tcBorders>
            <w:shd w:val="clear" w:color="000000" w:fill="DDEBF7"/>
            <w:noWrap/>
            <w:vAlign w:val="bottom"/>
            <w:hideMark/>
          </w:tcPr>
          <w:p w14:paraId="6B748E05" w14:textId="77777777" w:rsidR="00632316" w:rsidRPr="00632316" w:rsidRDefault="00632316" w:rsidP="00614E60">
            <w:pPr>
              <w:spacing w:after="0" w:line="240" w:lineRule="auto"/>
              <w:jc w:val="center"/>
              <w:rPr>
                <w:rFonts w:ascii="Calibri" w:eastAsia="Times New Roman" w:hAnsi="Calibri" w:cs="Times New Roman"/>
                <w:color w:val="000000"/>
              </w:rPr>
            </w:pPr>
            <w:r w:rsidRPr="00632316">
              <w:rPr>
                <w:rFonts w:ascii="Calibri" w:eastAsia="Times New Roman" w:hAnsi="Calibri" w:cs="Times New Roman"/>
                <w:color w:val="000000"/>
              </w:rPr>
              <w:t>3</w:t>
            </w:r>
          </w:p>
        </w:tc>
        <w:tc>
          <w:tcPr>
            <w:tcW w:w="724" w:type="dxa"/>
            <w:tcBorders>
              <w:top w:val="nil"/>
              <w:left w:val="nil"/>
              <w:bottom w:val="single" w:sz="4" w:space="0" w:color="auto"/>
              <w:right w:val="single" w:sz="8" w:space="0" w:color="auto"/>
            </w:tcBorders>
            <w:shd w:val="clear" w:color="auto" w:fill="auto"/>
            <w:noWrap/>
            <w:vAlign w:val="bottom"/>
            <w:hideMark/>
          </w:tcPr>
          <w:p w14:paraId="7179472E"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683" w:type="dxa"/>
            <w:tcBorders>
              <w:top w:val="nil"/>
              <w:left w:val="nil"/>
              <w:bottom w:val="single" w:sz="4" w:space="0" w:color="auto"/>
              <w:right w:val="nil"/>
            </w:tcBorders>
            <w:shd w:val="clear" w:color="auto" w:fill="auto"/>
            <w:noWrap/>
            <w:vAlign w:val="bottom"/>
            <w:hideMark/>
          </w:tcPr>
          <w:p w14:paraId="54ACA92B"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3</w:t>
            </w:r>
          </w:p>
        </w:tc>
        <w:tc>
          <w:tcPr>
            <w:tcW w:w="767" w:type="dxa"/>
            <w:tcBorders>
              <w:top w:val="nil"/>
              <w:left w:val="single" w:sz="4" w:space="0" w:color="auto"/>
              <w:bottom w:val="single" w:sz="4" w:space="0" w:color="auto"/>
              <w:right w:val="single" w:sz="8" w:space="0" w:color="auto"/>
            </w:tcBorders>
            <w:shd w:val="clear" w:color="auto" w:fill="auto"/>
            <w:noWrap/>
            <w:vAlign w:val="bottom"/>
            <w:hideMark/>
          </w:tcPr>
          <w:p w14:paraId="7EE2C164"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0</w:t>
            </w:r>
          </w:p>
        </w:tc>
      </w:tr>
      <w:tr w:rsidR="00632316" w:rsidRPr="00632316" w14:paraId="2FF6001C" w14:textId="77777777" w:rsidTr="003E67D8">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224BB2D0" w14:textId="77777777" w:rsidR="00632316" w:rsidRPr="00632316" w:rsidRDefault="00632316" w:rsidP="00632316">
            <w:pPr>
              <w:spacing w:after="0" w:line="240" w:lineRule="auto"/>
              <w:rPr>
                <w:rFonts w:ascii="Calibri" w:eastAsia="Times New Roman" w:hAnsi="Calibri" w:cs="Times New Roman"/>
                <w:b/>
                <w:bCs/>
                <w:color w:val="000000"/>
              </w:rPr>
            </w:pPr>
          </w:p>
        </w:tc>
        <w:tc>
          <w:tcPr>
            <w:tcW w:w="1391" w:type="dxa"/>
            <w:tcBorders>
              <w:top w:val="nil"/>
              <w:left w:val="nil"/>
              <w:bottom w:val="single" w:sz="4" w:space="0" w:color="auto"/>
              <w:right w:val="single" w:sz="8" w:space="0" w:color="auto"/>
            </w:tcBorders>
            <w:shd w:val="clear" w:color="auto" w:fill="auto"/>
            <w:noWrap/>
            <w:vAlign w:val="bottom"/>
            <w:hideMark/>
          </w:tcPr>
          <w:p w14:paraId="4D17ABBB"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QVAL</w:t>
            </w:r>
          </w:p>
        </w:tc>
        <w:tc>
          <w:tcPr>
            <w:tcW w:w="1265" w:type="dxa"/>
            <w:tcBorders>
              <w:top w:val="nil"/>
              <w:left w:val="nil"/>
              <w:bottom w:val="single" w:sz="8" w:space="0" w:color="auto"/>
              <w:right w:val="single" w:sz="4" w:space="0" w:color="auto"/>
            </w:tcBorders>
            <w:shd w:val="clear" w:color="auto" w:fill="auto"/>
            <w:noWrap/>
            <w:vAlign w:val="bottom"/>
            <w:hideMark/>
          </w:tcPr>
          <w:p w14:paraId="2023FA6E" w14:textId="77777777" w:rsidR="00632316" w:rsidRPr="00632316" w:rsidRDefault="00632316" w:rsidP="00614E60">
            <w:pPr>
              <w:spacing w:after="0" w:line="240" w:lineRule="auto"/>
              <w:jc w:val="center"/>
              <w:rPr>
                <w:rFonts w:ascii="Calibri" w:eastAsia="Times New Roman" w:hAnsi="Calibri" w:cs="Times New Roman"/>
                <w:color w:val="000000"/>
              </w:rPr>
            </w:pPr>
            <w:r w:rsidRPr="00632316">
              <w:rPr>
                <w:rFonts w:ascii="Calibri" w:eastAsia="Times New Roman" w:hAnsi="Calibri" w:cs="Times New Roman"/>
                <w:color w:val="000000"/>
              </w:rPr>
              <w:t>1</w:t>
            </w:r>
          </w:p>
        </w:tc>
        <w:tc>
          <w:tcPr>
            <w:tcW w:w="971" w:type="dxa"/>
            <w:tcBorders>
              <w:top w:val="nil"/>
              <w:left w:val="nil"/>
              <w:bottom w:val="single" w:sz="8" w:space="0" w:color="auto"/>
              <w:right w:val="single" w:sz="4" w:space="0" w:color="auto"/>
            </w:tcBorders>
            <w:shd w:val="clear" w:color="auto" w:fill="auto"/>
            <w:noWrap/>
            <w:vAlign w:val="bottom"/>
            <w:hideMark/>
          </w:tcPr>
          <w:p w14:paraId="1F4B0B1B"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390" w:type="dxa"/>
            <w:tcBorders>
              <w:top w:val="nil"/>
              <w:left w:val="nil"/>
              <w:bottom w:val="single" w:sz="8" w:space="0" w:color="auto"/>
              <w:right w:val="single" w:sz="4" w:space="0" w:color="auto"/>
            </w:tcBorders>
            <w:shd w:val="clear" w:color="auto" w:fill="auto"/>
            <w:noWrap/>
            <w:vAlign w:val="bottom"/>
            <w:hideMark/>
          </w:tcPr>
          <w:p w14:paraId="1CF5C6AE" w14:textId="77777777" w:rsidR="00632316" w:rsidRPr="00632316" w:rsidRDefault="00632316" w:rsidP="00614E60">
            <w:pPr>
              <w:spacing w:after="0" w:line="240" w:lineRule="auto"/>
              <w:jc w:val="center"/>
              <w:rPr>
                <w:rFonts w:ascii="Calibri" w:eastAsia="Times New Roman" w:hAnsi="Calibri" w:cs="Times New Roman"/>
                <w:color w:val="000000"/>
              </w:rPr>
            </w:pPr>
            <w:r w:rsidRPr="00632316">
              <w:rPr>
                <w:rFonts w:ascii="Calibri" w:eastAsia="Times New Roman" w:hAnsi="Calibri" w:cs="Times New Roman"/>
                <w:color w:val="000000"/>
              </w:rPr>
              <w:t>1</w:t>
            </w:r>
          </w:p>
        </w:tc>
        <w:tc>
          <w:tcPr>
            <w:tcW w:w="833" w:type="dxa"/>
            <w:tcBorders>
              <w:top w:val="nil"/>
              <w:left w:val="nil"/>
              <w:bottom w:val="single" w:sz="8" w:space="0" w:color="auto"/>
              <w:right w:val="single" w:sz="4" w:space="0" w:color="auto"/>
            </w:tcBorders>
            <w:shd w:val="clear" w:color="auto" w:fill="auto"/>
            <w:noWrap/>
            <w:vAlign w:val="bottom"/>
            <w:hideMark/>
          </w:tcPr>
          <w:p w14:paraId="1BD3B9B6" w14:textId="77777777" w:rsidR="00632316" w:rsidRPr="00632316" w:rsidRDefault="00614E60" w:rsidP="00614E6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4" w:type="dxa"/>
            <w:tcBorders>
              <w:top w:val="nil"/>
              <w:left w:val="nil"/>
              <w:bottom w:val="single" w:sz="8" w:space="0" w:color="auto"/>
              <w:right w:val="single" w:sz="8" w:space="0" w:color="auto"/>
            </w:tcBorders>
            <w:shd w:val="clear" w:color="000000" w:fill="DDEBF7"/>
            <w:noWrap/>
            <w:vAlign w:val="bottom"/>
            <w:hideMark/>
          </w:tcPr>
          <w:p w14:paraId="24882CF2" w14:textId="77777777" w:rsidR="00632316" w:rsidRPr="00632316" w:rsidRDefault="00632316" w:rsidP="00614E60">
            <w:pPr>
              <w:spacing w:after="0" w:line="240" w:lineRule="auto"/>
              <w:jc w:val="center"/>
              <w:rPr>
                <w:rFonts w:ascii="Calibri" w:eastAsia="Times New Roman" w:hAnsi="Calibri" w:cs="Times New Roman"/>
                <w:color w:val="000000"/>
              </w:rPr>
            </w:pPr>
            <w:r w:rsidRPr="00632316">
              <w:rPr>
                <w:rFonts w:ascii="Calibri" w:eastAsia="Times New Roman" w:hAnsi="Calibri" w:cs="Times New Roman"/>
                <w:color w:val="000000"/>
              </w:rPr>
              <w:t>26</w:t>
            </w:r>
          </w:p>
        </w:tc>
        <w:tc>
          <w:tcPr>
            <w:tcW w:w="683" w:type="dxa"/>
            <w:tcBorders>
              <w:top w:val="nil"/>
              <w:left w:val="nil"/>
              <w:bottom w:val="single" w:sz="8" w:space="0" w:color="auto"/>
              <w:right w:val="nil"/>
            </w:tcBorders>
            <w:shd w:val="clear" w:color="auto" w:fill="auto"/>
            <w:noWrap/>
            <w:vAlign w:val="bottom"/>
            <w:hideMark/>
          </w:tcPr>
          <w:p w14:paraId="173111BD"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28</w:t>
            </w:r>
          </w:p>
        </w:tc>
        <w:tc>
          <w:tcPr>
            <w:tcW w:w="767" w:type="dxa"/>
            <w:tcBorders>
              <w:top w:val="nil"/>
              <w:left w:val="single" w:sz="4" w:space="0" w:color="auto"/>
              <w:bottom w:val="single" w:sz="8" w:space="0" w:color="auto"/>
              <w:right w:val="single" w:sz="8" w:space="0" w:color="auto"/>
            </w:tcBorders>
            <w:shd w:val="clear" w:color="auto" w:fill="auto"/>
            <w:noWrap/>
            <w:vAlign w:val="bottom"/>
            <w:hideMark/>
          </w:tcPr>
          <w:p w14:paraId="5082409F"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0.93</w:t>
            </w:r>
          </w:p>
        </w:tc>
      </w:tr>
      <w:tr w:rsidR="00632316" w:rsidRPr="00632316" w14:paraId="7505CD84" w14:textId="77777777" w:rsidTr="003E67D8">
        <w:trPr>
          <w:trHeight w:val="315"/>
        </w:trPr>
        <w:tc>
          <w:tcPr>
            <w:tcW w:w="960" w:type="dxa"/>
            <w:tcBorders>
              <w:top w:val="nil"/>
              <w:left w:val="nil"/>
              <w:bottom w:val="nil"/>
              <w:right w:val="nil"/>
            </w:tcBorders>
            <w:shd w:val="clear" w:color="auto" w:fill="auto"/>
            <w:noWrap/>
            <w:vAlign w:val="bottom"/>
            <w:hideMark/>
          </w:tcPr>
          <w:p w14:paraId="0B6EFEAD" w14:textId="77777777" w:rsidR="00632316" w:rsidRPr="00632316" w:rsidRDefault="00632316" w:rsidP="00632316">
            <w:pPr>
              <w:spacing w:after="0" w:line="240" w:lineRule="auto"/>
              <w:jc w:val="right"/>
              <w:rPr>
                <w:rFonts w:ascii="Calibri" w:eastAsia="Times New Roman" w:hAnsi="Calibri" w:cs="Times New Roman"/>
                <w:b/>
                <w:bCs/>
                <w:color w:val="000000"/>
              </w:rPr>
            </w:pPr>
          </w:p>
        </w:tc>
        <w:tc>
          <w:tcPr>
            <w:tcW w:w="1391" w:type="dxa"/>
            <w:tcBorders>
              <w:top w:val="nil"/>
              <w:left w:val="single" w:sz="8" w:space="0" w:color="auto"/>
              <w:bottom w:val="nil"/>
              <w:right w:val="single" w:sz="8" w:space="0" w:color="auto"/>
            </w:tcBorders>
            <w:shd w:val="clear" w:color="auto" w:fill="auto"/>
            <w:noWrap/>
            <w:vAlign w:val="bottom"/>
            <w:hideMark/>
          </w:tcPr>
          <w:p w14:paraId="3C2CF7C8"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Total</w:t>
            </w:r>
          </w:p>
        </w:tc>
        <w:tc>
          <w:tcPr>
            <w:tcW w:w="1265" w:type="dxa"/>
            <w:tcBorders>
              <w:top w:val="nil"/>
              <w:left w:val="nil"/>
              <w:bottom w:val="nil"/>
              <w:right w:val="single" w:sz="4" w:space="0" w:color="auto"/>
            </w:tcBorders>
            <w:shd w:val="clear" w:color="auto" w:fill="auto"/>
            <w:noWrap/>
            <w:vAlign w:val="bottom"/>
            <w:hideMark/>
          </w:tcPr>
          <w:p w14:paraId="242A91B1"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25</w:t>
            </w:r>
          </w:p>
        </w:tc>
        <w:tc>
          <w:tcPr>
            <w:tcW w:w="971" w:type="dxa"/>
            <w:tcBorders>
              <w:top w:val="nil"/>
              <w:left w:val="nil"/>
              <w:bottom w:val="nil"/>
              <w:right w:val="single" w:sz="4" w:space="0" w:color="auto"/>
            </w:tcBorders>
            <w:shd w:val="clear" w:color="auto" w:fill="auto"/>
            <w:noWrap/>
            <w:vAlign w:val="bottom"/>
            <w:hideMark/>
          </w:tcPr>
          <w:p w14:paraId="10240B92"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20</w:t>
            </w:r>
          </w:p>
        </w:tc>
        <w:tc>
          <w:tcPr>
            <w:tcW w:w="1390" w:type="dxa"/>
            <w:tcBorders>
              <w:top w:val="nil"/>
              <w:left w:val="nil"/>
              <w:bottom w:val="nil"/>
              <w:right w:val="single" w:sz="4" w:space="0" w:color="auto"/>
            </w:tcBorders>
            <w:shd w:val="clear" w:color="auto" w:fill="auto"/>
            <w:noWrap/>
            <w:vAlign w:val="bottom"/>
            <w:hideMark/>
          </w:tcPr>
          <w:p w14:paraId="51DC9277"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5</w:t>
            </w:r>
          </w:p>
        </w:tc>
        <w:tc>
          <w:tcPr>
            <w:tcW w:w="833" w:type="dxa"/>
            <w:tcBorders>
              <w:top w:val="nil"/>
              <w:left w:val="nil"/>
              <w:bottom w:val="nil"/>
              <w:right w:val="single" w:sz="4" w:space="0" w:color="auto"/>
            </w:tcBorders>
            <w:shd w:val="clear" w:color="auto" w:fill="auto"/>
            <w:noWrap/>
            <w:vAlign w:val="bottom"/>
            <w:hideMark/>
          </w:tcPr>
          <w:p w14:paraId="15EBC270"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3</w:t>
            </w:r>
          </w:p>
        </w:tc>
        <w:tc>
          <w:tcPr>
            <w:tcW w:w="724" w:type="dxa"/>
            <w:tcBorders>
              <w:top w:val="nil"/>
              <w:left w:val="nil"/>
              <w:bottom w:val="nil"/>
              <w:right w:val="single" w:sz="4" w:space="0" w:color="auto"/>
            </w:tcBorders>
            <w:shd w:val="clear" w:color="auto" w:fill="auto"/>
            <w:noWrap/>
            <w:vAlign w:val="bottom"/>
            <w:hideMark/>
          </w:tcPr>
          <w:p w14:paraId="108F090C"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29</w:t>
            </w:r>
          </w:p>
        </w:tc>
        <w:tc>
          <w:tcPr>
            <w:tcW w:w="683" w:type="dxa"/>
            <w:tcBorders>
              <w:top w:val="nil"/>
              <w:left w:val="nil"/>
              <w:bottom w:val="nil"/>
              <w:right w:val="nil"/>
            </w:tcBorders>
            <w:shd w:val="clear" w:color="auto" w:fill="auto"/>
            <w:noWrap/>
            <w:vAlign w:val="bottom"/>
            <w:hideMark/>
          </w:tcPr>
          <w:p w14:paraId="5A5ADA57" w14:textId="77777777" w:rsidR="00632316" w:rsidRPr="00632316" w:rsidRDefault="00632316" w:rsidP="00632316">
            <w:pPr>
              <w:spacing w:after="0" w:line="240" w:lineRule="auto"/>
              <w:jc w:val="right"/>
              <w:rPr>
                <w:rFonts w:ascii="Calibri" w:eastAsia="Times New Roman" w:hAnsi="Calibri" w:cs="Times New Roman"/>
                <w:b/>
                <w:bCs/>
                <w:color w:val="000000"/>
              </w:rPr>
            </w:pPr>
          </w:p>
        </w:tc>
        <w:tc>
          <w:tcPr>
            <w:tcW w:w="767" w:type="dxa"/>
            <w:tcBorders>
              <w:top w:val="nil"/>
              <w:left w:val="nil"/>
              <w:bottom w:val="nil"/>
              <w:right w:val="nil"/>
            </w:tcBorders>
            <w:shd w:val="clear" w:color="auto" w:fill="auto"/>
            <w:noWrap/>
            <w:vAlign w:val="bottom"/>
            <w:hideMark/>
          </w:tcPr>
          <w:p w14:paraId="6A77124C" w14:textId="77777777" w:rsidR="00632316" w:rsidRPr="00632316" w:rsidRDefault="00632316" w:rsidP="00632316">
            <w:pPr>
              <w:spacing w:after="0" w:line="240" w:lineRule="auto"/>
              <w:rPr>
                <w:rFonts w:ascii="Times New Roman" w:eastAsia="Times New Roman" w:hAnsi="Times New Roman" w:cs="Times New Roman"/>
                <w:sz w:val="20"/>
                <w:szCs w:val="20"/>
              </w:rPr>
            </w:pPr>
          </w:p>
        </w:tc>
      </w:tr>
      <w:tr w:rsidR="00632316" w:rsidRPr="00632316" w14:paraId="6AF0AC6F" w14:textId="77777777" w:rsidTr="003E67D8">
        <w:trPr>
          <w:trHeight w:val="315"/>
        </w:trPr>
        <w:tc>
          <w:tcPr>
            <w:tcW w:w="960" w:type="dxa"/>
            <w:tcBorders>
              <w:top w:val="nil"/>
              <w:left w:val="nil"/>
              <w:bottom w:val="nil"/>
              <w:right w:val="nil"/>
            </w:tcBorders>
            <w:shd w:val="clear" w:color="auto" w:fill="auto"/>
            <w:noWrap/>
            <w:vAlign w:val="bottom"/>
            <w:hideMark/>
          </w:tcPr>
          <w:p w14:paraId="7AAA2DF8"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1391" w:type="dxa"/>
            <w:tcBorders>
              <w:top w:val="single" w:sz="8" w:space="0" w:color="auto"/>
              <w:left w:val="single" w:sz="8" w:space="0" w:color="auto"/>
              <w:bottom w:val="single" w:sz="8" w:space="0" w:color="auto"/>
              <w:right w:val="nil"/>
            </w:tcBorders>
            <w:shd w:val="clear" w:color="auto" w:fill="auto"/>
            <w:noWrap/>
            <w:vAlign w:val="bottom"/>
            <w:hideMark/>
          </w:tcPr>
          <w:p w14:paraId="6DB28E62" w14:textId="77777777" w:rsidR="00632316" w:rsidRPr="00632316" w:rsidRDefault="00632316" w:rsidP="0063231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Precisi</w:t>
            </w:r>
            <w:r w:rsidRPr="00632316">
              <w:rPr>
                <w:rFonts w:ascii="Calibri" w:eastAsia="Times New Roman" w:hAnsi="Calibri" w:cs="Times New Roman"/>
                <w:b/>
                <w:bCs/>
                <w:color w:val="000000"/>
              </w:rPr>
              <w:t>on</w:t>
            </w:r>
          </w:p>
        </w:tc>
        <w:tc>
          <w:tcPr>
            <w:tcW w:w="126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60D3937"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0.96</w:t>
            </w:r>
          </w:p>
        </w:tc>
        <w:tc>
          <w:tcPr>
            <w:tcW w:w="971" w:type="dxa"/>
            <w:tcBorders>
              <w:top w:val="single" w:sz="8" w:space="0" w:color="auto"/>
              <w:left w:val="nil"/>
              <w:bottom w:val="single" w:sz="8" w:space="0" w:color="auto"/>
              <w:right w:val="single" w:sz="4" w:space="0" w:color="auto"/>
            </w:tcBorders>
            <w:shd w:val="clear" w:color="auto" w:fill="auto"/>
            <w:noWrap/>
            <w:vAlign w:val="bottom"/>
            <w:hideMark/>
          </w:tcPr>
          <w:p w14:paraId="7458D74E"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1</w:t>
            </w:r>
          </w:p>
        </w:tc>
        <w:tc>
          <w:tcPr>
            <w:tcW w:w="1390" w:type="dxa"/>
            <w:tcBorders>
              <w:top w:val="single" w:sz="8" w:space="0" w:color="auto"/>
              <w:left w:val="nil"/>
              <w:bottom w:val="single" w:sz="8" w:space="0" w:color="auto"/>
              <w:right w:val="single" w:sz="4" w:space="0" w:color="auto"/>
            </w:tcBorders>
            <w:shd w:val="clear" w:color="auto" w:fill="auto"/>
            <w:noWrap/>
            <w:vAlign w:val="bottom"/>
            <w:hideMark/>
          </w:tcPr>
          <w:p w14:paraId="0F48D3EF"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0</w:t>
            </w:r>
          </w:p>
        </w:tc>
        <w:tc>
          <w:tcPr>
            <w:tcW w:w="833" w:type="dxa"/>
            <w:tcBorders>
              <w:top w:val="single" w:sz="8" w:space="0" w:color="auto"/>
              <w:left w:val="nil"/>
              <w:bottom w:val="single" w:sz="8" w:space="0" w:color="auto"/>
              <w:right w:val="single" w:sz="4" w:space="0" w:color="auto"/>
            </w:tcBorders>
            <w:shd w:val="clear" w:color="auto" w:fill="auto"/>
            <w:noWrap/>
            <w:vAlign w:val="bottom"/>
            <w:hideMark/>
          </w:tcPr>
          <w:p w14:paraId="77F73064"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1</w:t>
            </w:r>
          </w:p>
        </w:tc>
        <w:tc>
          <w:tcPr>
            <w:tcW w:w="724" w:type="dxa"/>
            <w:tcBorders>
              <w:top w:val="single" w:sz="8" w:space="0" w:color="auto"/>
              <w:left w:val="nil"/>
              <w:bottom w:val="single" w:sz="8" w:space="0" w:color="auto"/>
              <w:right w:val="single" w:sz="8" w:space="0" w:color="auto"/>
            </w:tcBorders>
            <w:shd w:val="clear" w:color="auto" w:fill="auto"/>
            <w:noWrap/>
            <w:vAlign w:val="bottom"/>
            <w:hideMark/>
          </w:tcPr>
          <w:p w14:paraId="610871D9" w14:textId="77777777" w:rsidR="00632316" w:rsidRPr="00632316" w:rsidRDefault="00632316" w:rsidP="00614E60">
            <w:pPr>
              <w:spacing w:after="0" w:line="240" w:lineRule="auto"/>
              <w:jc w:val="center"/>
              <w:rPr>
                <w:rFonts w:ascii="Calibri" w:eastAsia="Times New Roman" w:hAnsi="Calibri" w:cs="Times New Roman"/>
                <w:b/>
                <w:bCs/>
                <w:color w:val="000000"/>
              </w:rPr>
            </w:pPr>
            <w:r w:rsidRPr="00632316">
              <w:rPr>
                <w:rFonts w:ascii="Calibri" w:eastAsia="Times New Roman" w:hAnsi="Calibri" w:cs="Times New Roman"/>
                <w:b/>
                <w:bCs/>
                <w:color w:val="000000"/>
              </w:rPr>
              <w:t>0.90</w:t>
            </w:r>
          </w:p>
        </w:tc>
        <w:tc>
          <w:tcPr>
            <w:tcW w:w="683" w:type="dxa"/>
            <w:tcBorders>
              <w:top w:val="nil"/>
              <w:left w:val="nil"/>
              <w:bottom w:val="nil"/>
              <w:right w:val="nil"/>
            </w:tcBorders>
            <w:shd w:val="clear" w:color="auto" w:fill="auto"/>
            <w:noWrap/>
            <w:vAlign w:val="bottom"/>
            <w:hideMark/>
          </w:tcPr>
          <w:p w14:paraId="1C04860C" w14:textId="77777777" w:rsidR="00632316" w:rsidRPr="00632316" w:rsidRDefault="00632316" w:rsidP="00632316">
            <w:pPr>
              <w:spacing w:after="0" w:line="240" w:lineRule="auto"/>
              <w:jc w:val="right"/>
              <w:rPr>
                <w:rFonts w:ascii="Calibri" w:eastAsia="Times New Roman" w:hAnsi="Calibri" w:cs="Times New Roman"/>
                <w:b/>
                <w:bCs/>
                <w:color w:val="000000"/>
              </w:rPr>
            </w:pPr>
          </w:p>
        </w:tc>
        <w:tc>
          <w:tcPr>
            <w:tcW w:w="767" w:type="dxa"/>
            <w:tcBorders>
              <w:top w:val="nil"/>
              <w:left w:val="nil"/>
              <w:bottom w:val="nil"/>
              <w:right w:val="nil"/>
            </w:tcBorders>
            <w:shd w:val="clear" w:color="auto" w:fill="auto"/>
            <w:noWrap/>
            <w:vAlign w:val="bottom"/>
            <w:hideMark/>
          </w:tcPr>
          <w:p w14:paraId="749749A1" w14:textId="77777777" w:rsidR="00632316" w:rsidRPr="00632316" w:rsidRDefault="00632316" w:rsidP="00632316">
            <w:pPr>
              <w:spacing w:after="0" w:line="240" w:lineRule="auto"/>
              <w:rPr>
                <w:rFonts w:ascii="Times New Roman" w:eastAsia="Times New Roman" w:hAnsi="Times New Roman" w:cs="Times New Roman"/>
                <w:sz w:val="20"/>
                <w:szCs w:val="20"/>
              </w:rPr>
            </w:pPr>
          </w:p>
        </w:tc>
      </w:tr>
      <w:tr w:rsidR="00632316" w:rsidRPr="00632316" w14:paraId="12FC4043" w14:textId="77777777" w:rsidTr="003E67D8">
        <w:trPr>
          <w:trHeight w:val="315"/>
        </w:trPr>
        <w:tc>
          <w:tcPr>
            <w:tcW w:w="960" w:type="dxa"/>
            <w:tcBorders>
              <w:top w:val="nil"/>
              <w:left w:val="nil"/>
              <w:bottom w:val="nil"/>
              <w:right w:val="nil"/>
            </w:tcBorders>
            <w:shd w:val="clear" w:color="auto" w:fill="auto"/>
            <w:noWrap/>
            <w:vAlign w:val="bottom"/>
            <w:hideMark/>
          </w:tcPr>
          <w:p w14:paraId="2E13FD69"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14:paraId="4FED6BF3"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bottom"/>
            <w:hideMark/>
          </w:tcPr>
          <w:p w14:paraId="62533C11"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971" w:type="dxa"/>
            <w:tcBorders>
              <w:top w:val="nil"/>
              <w:left w:val="nil"/>
              <w:bottom w:val="nil"/>
              <w:right w:val="nil"/>
            </w:tcBorders>
            <w:shd w:val="clear" w:color="auto" w:fill="auto"/>
            <w:noWrap/>
            <w:vAlign w:val="bottom"/>
            <w:hideMark/>
          </w:tcPr>
          <w:p w14:paraId="2E343C82"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1390" w:type="dxa"/>
            <w:tcBorders>
              <w:top w:val="nil"/>
              <w:left w:val="nil"/>
              <w:bottom w:val="nil"/>
              <w:right w:val="nil"/>
            </w:tcBorders>
            <w:shd w:val="clear" w:color="auto" w:fill="auto"/>
            <w:noWrap/>
            <w:vAlign w:val="bottom"/>
            <w:hideMark/>
          </w:tcPr>
          <w:p w14:paraId="25020305"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14:paraId="593AAEB5"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724" w:type="dxa"/>
            <w:tcBorders>
              <w:top w:val="nil"/>
              <w:left w:val="nil"/>
              <w:bottom w:val="nil"/>
              <w:right w:val="nil"/>
            </w:tcBorders>
            <w:shd w:val="clear" w:color="auto" w:fill="auto"/>
            <w:noWrap/>
            <w:vAlign w:val="bottom"/>
            <w:hideMark/>
          </w:tcPr>
          <w:p w14:paraId="3B4D3211"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683" w:type="dxa"/>
            <w:tcBorders>
              <w:top w:val="nil"/>
              <w:left w:val="nil"/>
              <w:bottom w:val="nil"/>
              <w:right w:val="nil"/>
            </w:tcBorders>
            <w:shd w:val="clear" w:color="auto" w:fill="auto"/>
            <w:noWrap/>
            <w:vAlign w:val="bottom"/>
            <w:hideMark/>
          </w:tcPr>
          <w:p w14:paraId="1B8687A0"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767" w:type="dxa"/>
            <w:tcBorders>
              <w:top w:val="nil"/>
              <w:left w:val="nil"/>
              <w:bottom w:val="nil"/>
              <w:right w:val="nil"/>
            </w:tcBorders>
            <w:shd w:val="clear" w:color="auto" w:fill="auto"/>
            <w:noWrap/>
            <w:vAlign w:val="bottom"/>
            <w:hideMark/>
          </w:tcPr>
          <w:p w14:paraId="130DC99D" w14:textId="77777777" w:rsidR="00632316" w:rsidRPr="00632316" w:rsidRDefault="00632316" w:rsidP="00632316">
            <w:pPr>
              <w:spacing w:after="0" w:line="240" w:lineRule="auto"/>
              <w:rPr>
                <w:rFonts w:ascii="Times New Roman" w:eastAsia="Times New Roman" w:hAnsi="Times New Roman" w:cs="Times New Roman"/>
                <w:sz w:val="20"/>
                <w:szCs w:val="20"/>
              </w:rPr>
            </w:pPr>
          </w:p>
        </w:tc>
      </w:tr>
      <w:tr w:rsidR="00632316" w:rsidRPr="00632316" w14:paraId="4441974B" w14:textId="77777777" w:rsidTr="003E67D8">
        <w:trPr>
          <w:trHeight w:val="315"/>
        </w:trPr>
        <w:tc>
          <w:tcPr>
            <w:tcW w:w="960" w:type="dxa"/>
            <w:tcBorders>
              <w:top w:val="nil"/>
              <w:left w:val="nil"/>
              <w:bottom w:val="nil"/>
              <w:right w:val="nil"/>
            </w:tcBorders>
            <w:shd w:val="clear" w:color="auto" w:fill="auto"/>
            <w:noWrap/>
            <w:vAlign w:val="bottom"/>
            <w:hideMark/>
          </w:tcPr>
          <w:p w14:paraId="723A14F7"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13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94344A3" w14:textId="77777777" w:rsidR="00632316" w:rsidRPr="00632316" w:rsidRDefault="00632316" w:rsidP="00632316">
            <w:pPr>
              <w:spacing w:after="0" w:line="240" w:lineRule="auto"/>
              <w:rPr>
                <w:rFonts w:ascii="Calibri" w:eastAsia="Times New Roman" w:hAnsi="Calibri" w:cs="Times New Roman"/>
                <w:b/>
                <w:bCs/>
                <w:color w:val="000000"/>
              </w:rPr>
            </w:pPr>
            <w:r w:rsidRPr="00632316">
              <w:rPr>
                <w:rFonts w:ascii="Calibri" w:eastAsia="Times New Roman" w:hAnsi="Calibri" w:cs="Times New Roman"/>
                <w:b/>
                <w:bCs/>
                <w:color w:val="000000"/>
              </w:rPr>
              <w:t>Accuracy</w:t>
            </w:r>
          </w:p>
        </w:tc>
        <w:tc>
          <w:tcPr>
            <w:tcW w:w="1265" w:type="dxa"/>
            <w:tcBorders>
              <w:top w:val="single" w:sz="8" w:space="0" w:color="auto"/>
              <w:left w:val="nil"/>
              <w:bottom w:val="single" w:sz="8" w:space="0" w:color="auto"/>
              <w:right w:val="single" w:sz="8" w:space="0" w:color="auto"/>
            </w:tcBorders>
            <w:shd w:val="clear" w:color="auto" w:fill="auto"/>
            <w:noWrap/>
            <w:vAlign w:val="bottom"/>
            <w:hideMark/>
          </w:tcPr>
          <w:p w14:paraId="64ACF342" w14:textId="77777777" w:rsidR="00632316" w:rsidRPr="00632316" w:rsidRDefault="00632316" w:rsidP="00632316">
            <w:pPr>
              <w:spacing w:after="0" w:line="240" w:lineRule="auto"/>
              <w:jc w:val="right"/>
              <w:rPr>
                <w:rFonts w:ascii="Calibri" w:eastAsia="Times New Roman" w:hAnsi="Calibri" w:cs="Times New Roman"/>
                <w:b/>
                <w:bCs/>
                <w:color w:val="000000"/>
              </w:rPr>
            </w:pPr>
            <w:r w:rsidRPr="00632316">
              <w:rPr>
                <w:rFonts w:ascii="Calibri" w:eastAsia="Times New Roman" w:hAnsi="Calibri" w:cs="Times New Roman"/>
                <w:b/>
                <w:bCs/>
                <w:color w:val="000000"/>
              </w:rPr>
              <w:t>0.89</w:t>
            </w:r>
          </w:p>
        </w:tc>
        <w:tc>
          <w:tcPr>
            <w:tcW w:w="971" w:type="dxa"/>
            <w:tcBorders>
              <w:top w:val="nil"/>
              <w:left w:val="nil"/>
              <w:bottom w:val="nil"/>
              <w:right w:val="nil"/>
            </w:tcBorders>
            <w:shd w:val="clear" w:color="auto" w:fill="auto"/>
            <w:noWrap/>
            <w:vAlign w:val="bottom"/>
            <w:hideMark/>
          </w:tcPr>
          <w:p w14:paraId="59FD2735" w14:textId="77777777" w:rsidR="00632316" w:rsidRPr="00632316" w:rsidRDefault="00632316" w:rsidP="00632316">
            <w:pPr>
              <w:spacing w:after="0" w:line="240" w:lineRule="auto"/>
              <w:jc w:val="right"/>
              <w:rPr>
                <w:rFonts w:ascii="Calibri" w:eastAsia="Times New Roman" w:hAnsi="Calibri" w:cs="Times New Roman"/>
                <w:b/>
                <w:bCs/>
                <w:color w:val="000000"/>
              </w:rPr>
            </w:pPr>
          </w:p>
        </w:tc>
        <w:tc>
          <w:tcPr>
            <w:tcW w:w="1390" w:type="dxa"/>
            <w:tcBorders>
              <w:top w:val="nil"/>
              <w:left w:val="nil"/>
              <w:bottom w:val="nil"/>
              <w:right w:val="nil"/>
            </w:tcBorders>
            <w:shd w:val="clear" w:color="auto" w:fill="auto"/>
            <w:noWrap/>
            <w:vAlign w:val="bottom"/>
            <w:hideMark/>
          </w:tcPr>
          <w:p w14:paraId="5FD5FC3C"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833" w:type="dxa"/>
            <w:tcBorders>
              <w:top w:val="nil"/>
              <w:left w:val="nil"/>
              <w:bottom w:val="nil"/>
              <w:right w:val="nil"/>
            </w:tcBorders>
            <w:shd w:val="clear" w:color="auto" w:fill="auto"/>
            <w:noWrap/>
            <w:vAlign w:val="bottom"/>
            <w:hideMark/>
          </w:tcPr>
          <w:p w14:paraId="2F3A7DCA"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724" w:type="dxa"/>
            <w:tcBorders>
              <w:top w:val="nil"/>
              <w:left w:val="nil"/>
              <w:bottom w:val="nil"/>
              <w:right w:val="nil"/>
            </w:tcBorders>
            <w:shd w:val="clear" w:color="auto" w:fill="auto"/>
            <w:noWrap/>
            <w:vAlign w:val="bottom"/>
            <w:hideMark/>
          </w:tcPr>
          <w:p w14:paraId="71F868C0"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683" w:type="dxa"/>
            <w:tcBorders>
              <w:top w:val="nil"/>
              <w:left w:val="nil"/>
              <w:bottom w:val="nil"/>
              <w:right w:val="nil"/>
            </w:tcBorders>
            <w:shd w:val="clear" w:color="auto" w:fill="auto"/>
            <w:noWrap/>
            <w:vAlign w:val="bottom"/>
            <w:hideMark/>
          </w:tcPr>
          <w:p w14:paraId="61D77AB2" w14:textId="77777777" w:rsidR="00632316" w:rsidRPr="00632316" w:rsidRDefault="00632316" w:rsidP="00632316">
            <w:pPr>
              <w:spacing w:after="0" w:line="240" w:lineRule="auto"/>
              <w:rPr>
                <w:rFonts w:ascii="Times New Roman" w:eastAsia="Times New Roman" w:hAnsi="Times New Roman" w:cs="Times New Roman"/>
                <w:sz w:val="20"/>
                <w:szCs w:val="20"/>
              </w:rPr>
            </w:pPr>
          </w:p>
        </w:tc>
        <w:tc>
          <w:tcPr>
            <w:tcW w:w="767" w:type="dxa"/>
            <w:tcBorders>
              <w:top w:val="nil"/>
              <w:left w:val="nil"/>
              <w:bottom w:val="nil"/>
              <w:right w:val="nil"/>
            </w:tcBorders>
            <w:shd w:val="clear" w:color="auto" w:fill="auto"/>
            <w:noWrap/>
            <w:vAlign w:val="bottom"/>
            <w:hideMark/>
          </w:tcPr>
          <w:p w14:paraId="228ADCB4" w14:textId="77777777" w:rsidR="00632316" w:rsidRPr="00632316" w:rsidRDefault="00632316" w:rsidP="00632316">
            <w:pPr>
              <w:spacing w:after="0" w:line="240" w:lineRule="auto"/>
              <w:rPr>
                <w:rFonts w:ascii="Times New Roman" w:eastAsia="Times New Roman" w:hAnsi="Times New Roman" w:cs="Times New Roman"/>
                <w:sz w:val="20"/>
                <w:szCs w:val="20"/>
              </w:rPr>
            </w:pPr>
          </w:p>
        </w:tc>
      </w:tr>
    </w:tbl>
    <w:p w14:paraId="2355F10A" w14:textId="77777777" w:rsidR="00E77252" w:rsidRPr="00F948AC" w:rsidRDefault="00F1074C" w:rsidP="007E6F04">
      <w:pPr>
        <w:rPr>
          <w:sz w:val="26"/>
          <w:szCs w:val="26"/>
        </w:rPr>
      </w:pPr>
      <w:r>
        <w:rPr>
          <w:sz w:val="26"/>
          <w:szCs w:val="26"/>
        </w:rPr>
        <w:t xml:space="preserve"> </w:t>
      </w:r>
    </w:p>
    <w:p w14:paraId="5FB260C9" w14:textId="77777777" w:rsidR="00D41C18" w:rsidRDefault="00D41C18" w:rsidP="007E6F04">
      <w:pPr>
        <w:rPr>
          <w:sz w:val="26"/>
          <w:szCs w:val="26"/>
        </w:rPr>
      </w:pPr>
    </w:p>
    <w:p w14:paraId="1EE1C545" w14:textId="77777777" w:rsidR="00107459" w:rsidRPr="00107459" w:rsidRDefault="00107459" w:rsidP="00FA045D">
      <w:pPr>
        <w:jc w:val="both"/>
        <w:rPr>
          <w:sz w:val="26"/>
          <w:szCs w:val="26"/>
        </w:rPr>
      </w:pPr>
      <w:r w:rsidRPr="00107459">
        <w:rPr>
          <w:b/>
          <w:bCs/>
          <w:sz w:val="26"/>
          <w:szCs w:val="26"/>
        </w:rPr>
        <w:t>Sequential Based Approach</w:t>
      </w:r>
    </w:p>
    <w:p w14:paraId="5659A26F" w14:textId="77777777" w:rsidR="00107459" w:rsidRPr="00107459" w:rsidRDefault="00107459" w:rsidP="00FA045D">
      <w:pPr>
        <w:jc w:val="both"/>
        <w:rPr>
          <w:sz w:val="26"/>
          <w:szCs w:val="26"/>
        </w:rPr>
      </w:pPr>
      <w:r w:rsidRPr="00107459">
        <w:rPr>
          <w:sz w:val="26"/>
          <w:szCs w:val="26"/>
        </w:rPr>
        <w:t>Using this approach we were able to get an accuracy of ~76% (using a cut off value of 0.6).</w:t>
      </w:r>
    </w:p>
    <w:p w14:paraId="5937E7D8" w14:textId="77777777" w:rsidR="00D41C18" w:rsidRDefault="007D5AEA" w:rsidP="00FA045D">
      <w:pPr>
        <w:jc w:val="both"/>
        <w:rPr>
          <w:sz w:val="26"/>
          <w:szCs w:val="26"/>
        </w:rPr>
      </w:pPr>
      <w:r>
        <w:rPr>
          <w:sz w:val="26"/>
          <w:szCs w:val="26"/>
        </w:rPr>
        <w:t>The learning capabi</w:t>
      </w:r>
      <w:r w:rsidR="00CF1E85">
        <w:rPr>
          <w:sz w:val="26"/>
          <w:szCs w:val="26"/>
        </w:rPr>
        <w:t xml:space="preserve">lity will be enhanced in </w:t>
      </w:r>
      <w:r>
        <w:rPr>
          <w:sz w:val="26"/>
          <w:szCs w:val="26"/>
        </w:rPr>
        <w:t>NN in future process which helps to increase its efficiency with good performance evaluation.</w:t>
      </w:r>
    </w:p>
    <w:p w14:paraId="2C75A5B4" w14:textId="77777777" w:rsidR="00D41C18" w:rsidRPr="00F428C1" w:rsidRDefault="00F428C1" w:rsidP="007E6F04">
      <w:pPr>
        <w:rPr>
          <w:rStyle w:val="Heading2Char"/>
          <w:b/>
        </w:rPr>
      </w:pPr>
      <w:r w:rsidRPr="00F428C1">
        <w:rPr>
          <w:rStyle w:val="Heading2Char"/>
          <w:b/>
        </w:rPr>
        <w:t xml:space="preserve">Conclusion </w:t>
      </w:r>
    </w:p>
    <w:p w14:paraId="3862B2D9" w14:textId="279083B7" w:rsidR="00F428C1" w:rsidRDefault="00F428C1" w:rsidP="00FA045D">
      <w:pPr>
        <w:jc w:val="both"/>
        <w:rPr>
          <w:sz w:val="26"/>
          <w:szCs w:val="26"/>
        </w:rPr>
      </w:pPr>
      <w:r w:rsidRPr="00F428C1">
        <w:rPr>
          <w:sz w:val="26"/>
          <w:szCs w:val="26"/>
        </w:rPr>
        <w:t>The industry has faced</w:t>
      </w:r>
      <w:r w:rsidR="00721BF7" w:rsidRPr="00F428C1">
        <w:rPr>
          <w:sz w:val="26"/>
          <w:szCs w:val="26"/>
        </w:rPr>
        <w:t xml:space="preserve"> many challenges in being able to prepare SEND data sets with reliability, quality and at a reasonable cost</w:t>
      </w:r>
      <w:r>
        <w:rPr>
          <w:sz w:val="26"/>
          <w:szCs w:val="26"/>
        </w:rPr>
        <w:t xml:space="preserve">. Here in this paper we </w:t>
      </w:r>
      <w:r w:rsidR="0076451F">
        <w:rPr>
          <w:sz w:val="26"/>
          <w:szCs w:val="26"/>
        </w:rPr>
        <w:t xml:space="preserve">have </w:t>
      </w:r>
      <w:r>
        <w:rPr>
          <w:sz w:val="26"/>
          <w:szCs w:val="26"/>
        </w:rPr>
        <w:t xml:space="preserve">described </w:t>
      </w:r>
      <w:r w:rsidR="0076451F">
        <w:rPr>
          <w:sz w:val="26"/>
          <w:szCs w:val="26"/>
        </w:rPr>
        <w:t xml:space="preserve">how </w:t>
      </w:r>
      <w:r>
        <w:rPr>
          <w:sz w:val="26"/>
          <w:szCs w:val="26"/>
        </w:rPr>
        <w:t>computational technique</w:t>
      </w:r>
      <w:r w:rsidR="0076451F">
        <w:rPr>
          <w:sz w:val="26"/>
          <w:szCs w:val="26"/>
        </w:rPr>
        <w:t>s</w:t>
      </w:r>
      <w:r>
        <w:rPr>
          <w:sz w:val="26"/>
          <w:szCs w:val="26"/>
        </w:rPr>
        <w:t xml:space="preserve"> such as </w:t>
      </w:r>
      <w:r w:rsidR="00620F2E">
        <w:rPr>
          <w:sz w:val="26"/>
          <w:szCs w:val="26"/>
        </w:rPr>
        <w:t>MLP</w:t>
      </w:r>
      <w:r w:rsidR="0076451F">
        <w:rPr>
          <w:sz w:val="26"/>
          <w:szCs w:val="26"/>
        </w:rPr>
        <w:t xml:space="preserve"> can be used</w:t>
      </w:r>
      <w:r>
        <w:rPr>
          <w:sz w:val="26"/>
          <w:szCs w:val="26"/>
        </w:rPr>
        <w:t xml:space="preserve"> in recommending and preparing SEND ready datasets. </w:t>
      </w:r>
      <w:r w:rsidR="00AF1B57">
        <w:rPr>
          <w:sz w:val="26"/>
          <w:szCs w:val="26"/>
        </w:rPr>
        <w:t xml:space="preserve">Based on our understanding, </w:t>
      </w:r>
      <w:r w:rsidR="00620F2E">
        <w:rPr>
          <w:sz w:val="26"/>
          <w:szCs w:val="26"/>
        </w:rPr>
        <w:t>MLP</w:t>
      </w:r>
      <w:r w:rsidR="0076451F">
        <w:rPr>
          <w:sz w:val="26"/>
          <w:szCs w:val="26"/>
        </w:rPr>
        <w:t xml:space="preserve"> </w:t>
      </w:r>
      <w:r>
        <w:rPr>
          <w:sz w:val="26"/>
          <w:szCs w:val="26"/>
        </w:rPr>
        <w:t>give</w:t>
      </w:r>
      <w:r w:rsidR="00AF1B57">
        <w:rPr>
          <w:sz w:val="26"/>
          <w:szCs w:val="26"/>
        </w:rPr>
        <w:t>s</w:t>
      </w:r>
      <w:r>
        <w:rPr>
          <w:sz w:val="26"/>
          <w:szCs w:val="26"/>
        </w:rPr>
        <w:t xml:space="preserve"> better performance due to their ability to recognize patterns</w:t>
      </w:r>
      <w:r w:rsidR="00AF1B57">
        <w:rPr>
          <w:sz w:val="26"/>
          <w:szCs w:val="26"/>
        </w:rPr>
        <w:t>.</w:t>
      </w:r>
      <w:r w:rsidR="00B56DE5">
        <w:rPr>
          <w:sz w:val="26"/>
          <w:szCs w:val="26"/>
        </w:rPr>
        <w:t xml:space="preserve"> </w:t>
      </w:r>
      <w:r w:rsidR="00E97573">
        <w:rPr>
          <w:sz w:val="26"/>
          <w:szCs w:val="26"/>
        </w:rPr>
        <w:t xml:space="preserve">NN </w:t>
      </w:r>
      <w:r w:rsidR="0076451F">
        <w:rPr>
          <w:sz w:val="26"/>
          <w:szCs w:val="26"/>
        </w:rPr>
        <w:t>i</w:t>
      </w:r>
      <w:r w:rsidR="00934276">
        <w:rPr>
          <w:sz w:val="26"/>
          <w:szCs w:val="26"/>
        </w:rPr>
        <w:t>s a</w:t>
      </w:r>
      <w:r w:rsidR="00E97573">
        <w:rPr>
          <w:sz w:val="26"/>
          <w:szCs w:val="26"/>
        </w:rPr>
        <w:t xml:space="preserve"> tool </w:t>
      </w:r>
      <w:r w:rsidR="00AF1B57">
        <w:rPr>
          <w:sz w:val="26"/>
          <w:szCs w:val="26"/>
        </w:rPr>
        <w:t>which facilitates</w:t>
      </w:r>
      <w:r w:rsidR="00934276">
        <w:rPr>
          <w:sz w:val="26"/>
          <w:szCs w:val="26"/>
        </w:rPr>
        <w:t xml:space="preserve"> </w:t>
      </w:r>
      <w:r w:rsidR="00AF1B57" w:rsidRPr="00AF1B57">
        <w:rPr>
          <w:sz w:val="26"/>
          <w:szCs w:val="26"/>
        </w:rPr>
        <w:t>Sponsors and CROs in getting ready with SEND datasets.</w:t>
      </w:r>
      <w:r w:rsidR="00E97573">
        <w:rPr>
          <w:sz w:val="26"/>
          <w:szCs w:val="26"/>
        </w:rPr>
        <w:t xml:space="preserve">  </w:t>
      </w:r>
      <w:r w:rsidR="00934276">
        <w:rPr>
          <w:sz w:val="26"/>
          <w:szCs w:val="26"/>
        </w:rPr>
        <w:t xml:space="preserve">The critical evaluation of the </w:t>
      </w:r>
      <w:r w:rsidR="00620F2E">
        <w:rPr>
          <w:sz w:val="26"/>
          <w:szCs w:val="26"/>
        </w:rPr>
        <w:t xml:space="preserve">MLP </w:t>
      </w:r>
      <w:r w:rsidR="00934276">
        <w:rPr>
          <w:sz w:val="26"/>
          <w:szCs w:val="26"/>
        </w:rPr>
        <w:t>outputs are continuously improving and can contribute greatly to cost</w:t>
      </w:r>
      <w:r w:rsidR="00934276" w:rsidRPr="00934276">
        <w:rPr>
          <w:sz w:val="26"/>
          <w:szCs w:val="26"/>
        </w:rPr>
        <w:t xml:space="preserve"> effective and responsive services for SEND Data</w:t>
      </w:r>
      <w:r w:rsidR="00934276">
        <w:rPr>
          <w:sz w:val="26"/>
          <w:szCs w:val="26"/>
        </w:rPr>
        <w:t>.</w:t>
      </w:r>
    </w:p>
    <w:p w14:paraId="3D73FB1C" w14:textId="77777777" w:rsidR="0095051D" w:rsidRDefault="0095051D" w:rsidP="00C206AD">
      <w:pPr>
        <w:rPr>
          <w:rStyle w:val="Heading2Char"/>
          <w:b/>
        </w:rPr>
      </w:pPr>
    </w:p>
    <w:p w14:paraId="25753791" w14:textId="77777777" w:rsidR="00AF7FA7" w:rsidRPr="00B56DE5" w:rsidRDefault="00AF7FA7" w:rsidP="00C206AD">
      <w:pPr>
        <w:rPr>
          <w:rStyle w:val="Heading2Char"/>
          <w:b/>
        </w:rPr>
      </w:pPr>
      <w:r w:rsidRPr="00B56DE5">
        <w:rPr>
          <w:rStyle w:val="Heading2Char"/>
          <w:b/>
        </w:rPr>
        <w:t>References</w:t>
      </w:r>
    </w:p>
    <w:p w14:paraId="11071243" w14:textId="77777777" w:rsidR="00934276" w:rsidRDefault="00934276" w:rsidP="00E547B1">
      <w:pPr>
        <w:pStyle w:val="ListParagraph"/>
      </w:pPr>
    </w:p>
    <w:p w14:paraId="57545155" w14:textId="77777777" w:rsidR="00934276" w:rsidRDefault="00C1533E" w:rsidP="00934276">
      <w:pPr>
        <w:pStyle w:val="ListParagraph"/>
        <w:numPr>
          <w:ilvl w:val="0"/>
          <w:numId w:val="1"/>
        </w:numPr>
        <w:rPr>
          <w:sz w:val="26"/>
          <w:szCs w:val="26"/>
        </w:rPr>
      </w:pPr>
      <w:hyperlink r:id="rId9" w:history="1">
        <w:r w:rsidR="00934276" w:rsidRPr="003315FF">
          <w:rPr>
            <w:rStyle w:val="Hyperlink"/>
            <w:sz w:val="26"/>
            <w:szCs w:val="26"/>
          </w:rPr>
          <w:t>https://www.fda.gov/forindustry/datastandards/studydatastandards/default.htm</w:t>
        </w:r>
      </w:hyperlink>
    </w:p>
    <w:p w14:paraId="58C0FE2C" w14:textId="77777777" w:rsidR="00AF7FA7" w:rsidRPr="00B56DE5" w:rsidRDefault="00C1533E" w:rsidP="00AF7FA7">
      <w:pPr>
        <w:pStyle w:val="ListParagraph"/>
        <w:numPr>
          <w:ilvl w:val="0"/>
          <w:numId w:val="1"/>
        </w:numPr>
        <w:rPr>
          <w:sz w:val="26"/>
          <w:szCs w:val="26"/>
        </w:rPr>
      </w:pPr>
      <w:hyperlink r:id="rId10" w:history="1">
        <w:r w:rsidR="00AF7FA7" w:rsidRPr="00B56DE5">
          <w:rPr>
            <w:sz w:val="26"/>
            <w:szCs w:val="26"/>
          </w:rPr>
          <w:t>http://www.phusewiki.org/docs/2016_Tokyo_SDE/SEND%20for%20Pathologists%20and%20Toxicologists.pdf</w:t>
        </w:r>
      </w:hyperlink>
    </w:p>
    <w:p w14:paraId="7EE3C515" w14:textId="77777777" w:rsidR="003A1472" w:rsidRDefault="003A1472" w:rsidP="00214B86">
      <w:pPr>
        <w:pStyle w:val="ListParagraph"/>
        <w:numPr>
          <w:ilvl w:val="0"/>
          <w:numId w:val="1"/>
        </w:numPr>
        <w:rPr>
          <w:sz w:val="26"/>
          <w:szCs w:val="26"/>
        </w:rPr>
      </w:pPr>
      <w:r w:rsidRPr="00B56DE5">
        <w:rPr>
          <w:sz w:val="26"/>
          <w:szCs w:val="26"/>
        </w:rPr>
        <w:lastRenderedPageBreak/>
        <w:t>Frame S.R. and Mann P.C. (2008). Principles of Pathology for Toxicology Studies. In: Principles and Methods of Toxicology, Fifth Edition (Hayes A.W, ed), pp 591-609, CRC Press. Boca Raton.</w:t>
      </w:r>
    </w:p>
    <w:p w14:paraId="70076A8A" w14:textId="77777777" w:rsidR="00214B86" w:rsidRDefault="00214B86" w:rsidP="00214B86">
      <w:pPr>
        <w:pStyle w:val="ListParagraph"/>
        <w:numPr>
          <w:ilvl w:val="0"/>
          <w:numId w:val="1"/>
        </w:numPr>
        <w:rPr>
          <w:sz w:val="26"/>
          <w:szCs w:val="26"/>
        </w:rPr>
      </w:pPr>
      <w:r w:rsidRPr="00214B86">
        <w:rPr>
          <w:sz w:val="26"/>
          <w:szCs w:val="26"/>
        </w:rPr>
        <w:t>https://code.google.com/archive/p/word2vec/</w:t>
      </w:r>
    </w:p>
    <w:p w14:paraId="6DD3C3B2" w14:textId="020833AC" w:rsidR="00214B86" w:rsidRPr="00B56DE5" w:rsidRDefault="00214B86" w:rsidP="00214B86">
      <w:pPr>
        <w:pStyle w:val="ListParagraph"/>
        <w:rPr>
          <w:sz w:val="26"/>
          <w:szCs w:val="26"/>
        </w:rPr>
      </w:pPr>
    </w:p>
    <w:p w14:paraId="54EC20FE" w14:textId="06BA07B2" w:rsidR="00214B86" w:rsidRPr="00214B86" w:rsidRDefault="001B460E" w:rsidP="00214B86">
      <w:pPr>
        <w:pStyle w:val="ListParagraph"/>
        <w:numPr>
          <w:ilvl w:val="0"/>
          <w:numId w:val="1"/>
        </w:numPr>
        <w:rPr>
          <w:sz w:val="26"/>
          <w:szCs w:val="26"/>
        </w:rPr>
      </w:pPr>
      <w:r w:rsidRPr="00214B86">
        <w:rPr>
          <w:sz w:val="26"/>
          <w:szCs w:val="26"/>
        </w:rPr>
        <w:t>Andrew Tomlinson. Medical applications for pattern classifiers and image processing. http://www.railwaybridge.co.uk, accessed April 27, 2005, 2000.</w:t>
      </w:r>
    </w:p>
    <w:p w14:paraId="203E91A2" w14:textId="77777777" w:rsidR="00214B86" w:rsidRDefault="00214B86" w:rsidP="00214B86">
      <w:pPr>
        <w:pStyle w:val="Heading2"/>
        <w:rPr>
          <w:b/>
        </w:rPr>
      </w:pPr>
    </w:p>
    <w:p w14:paraId="6BD3A360" w14:textId="01BA9355" w:rsidR="00214B86" w:rsidRPr="00214B86" w:rsidRDefault="00214B86" w:rsidP="00214B86">
      <w:pPr>
        <w:pStyle w:val="Heading2"/>
        <w:rPr>
          <w:b/>
        </w:rPr>
      </w:pPr>
      <w:r w:rsidRPr="00214B86">
        <w:rPr>
          <w:b/>
        </w:rPr>
        <w:t>Appendix:</w:t>
      </w:r>
    </w:p>
    <w:p w14:paraId="0460CD75" w14:textId="1A2871CC" w:rsidR="00214B86" w:rsidRDefault="00214B86" w:rsidP="00214B86">
      <w:pPr>
        <w:rPr>
          <w:b/>
          <w:sz w:val="26"/>
          <w:szCs w:val="26"/>
        </w:rPr>
      </w:pPr>
      <w:r>
        <w:rPr>
          <w:b/>
          <w:sz w:val="26"/>
          <w:szCs w:val="26"/>
        </w:rPr>
        <w:t>References of Corpus building</w:t>
      </w:r>
    </w:p>
    <w:p w14:paraId="1CF8F721" w14:textId="56A18414" w:rsidR="00214B86" w:rsidRPr="00214B86" w:rsidRDefault="00214B86" w:rsidP="00214B86">
      <w:pPr>
        <w:pStyle w:val="ListParagraph"/>
        <w:numPr>
          <w:ilvl w:val="0"/>
          <w:numId w:val="14"/>
        </w:numPr>
        <w:rPr>
          <w:rFonts w:ascii="Times New Roman" w:hAnsi="Times New Roman" w:cs="Times New Roman"/>
          <w:color w:val="000000"/>
        </w:rPr>
      </w:pPr>
      <w:r w:rsidRPr="00214B86">
        <w:rPr>
          <w:rFonts w:ascii="Calibri" w:hAnsi="Calibri" w:cs="Times New Roman"/>
          <w:b/>
          <w:bCs/>
          <w:color w:val="1F497D"/>
        </w:rPr>
        <w:t>NTP Atlas of Nonneoplastic Lesions in Rats and Mice:</w:t>
      </w:r>
      <w:r w:rsidRPr="00214B86">
        <w:rPr>
          <w:rFonts w:ascii="Calibri" w:hAnsi="Calibri" w:cs="Times New Roman"/>
          <w:color w:val="1F497D"/>
        </w:rPr>
        <w:t> Left side navigation panel</w:t>
      </w:r>
    </w:p>
    <w:p w14:paraId="162D6869" w14:textId="72C63AFE" w:rsidR="00214B86" w:rsidRPr="00541BA2" w:rsidRDefault="00214B86" w:rsidP="00214B86">
      <w:pPr>
        <w:rPr>
          <w:rFonts w:ascii="Times New Roman" w:hAnsi="Times New Roman" w:cs="Times New Roman"/>
          <w:color w:val="000000"/>
        </w:rPr>
      </w:pPr>
      <w:r>
        <w:t xml:space="preserve">                </w:t>
      </w:r>
      <w:hyperlink r:id="rId11" w:history="1">
        <w:r w:rsidRPr="00541BA2">
          <w:rPr>
            <w:rFonts w:ascii="Calibri" w:hAnsi="Calibri" w:cs="Times New Roman"/>
            <w:color w:val="800080"/>
            <w:u w:val="single"/>
          </w:rPr>
          <w:t>https://ntp.niehs.nih.gov/nnl/index.htm</w:t>
        </w:r>
      </w:hyperlink>
      <w:bookmarkStart w:id="0" w:name="_GoBack"/>
      <w:bookmarkEnd w:id="0"/>
    </w:p>
    <w:p w14:paraId="349DFDB8" w14:textId="2BBC7E29" w:rsidR="00214B86" w:rsidRPr="00214B86" w:rsidRDefault="00214B86" w:rsidP="00214B86">
      <w:pPr>
        <w:pStyle w:val="ListParagraph"/>
        <w:numPr>
          <w:ilvl w:val="0"/>
          <w:numId w:val="14"/>
        </w:numPr>
        <w:rPr>
          <w:rFonts w:ascii="Times New Roman" w:hAnsi="Times New Roman" w:cs="Times New Roman"/>
          <w:color w:val="000000"/>
        </w:rPr>
      </w:pPr>
      <w:r w:rsidRPr="00214B86">
        <w:rPr>
          <w:rFonts w:ascii="Calibri" w:hAnsi="Calibri" w:cs="Times New Roman"/>
          <w:b/>
          <w:bCs/>
          <w:color w:val="1F497D"/>
        </w:rPr>
        <w:t>NHAND nomenclature:</w:t>
      </w:r>
      <w:r>
        <w:rPr>
          <w:rFonts w:ascii="Calibri" w:hAnsi="Calibri" w:cs="Times New Roman"/>
          <w:b/>
          <w:bCs/>
          <w:color w:val="1F497D"/>
        </w:rPr>
        <w:t xml:space="preserve"> </w:t>
      </w:r>
    </w:p>
    <w:p w14:paraId="2C1B4B6B" w14:textId="1DFAC5AB" w:rsidR="00214B86" w:rsidRPr="00541BA2" w:rsidRDefault="00C1533E" w:rsidP="00214B86">
      <w:pPr>
        <w:ind w:firstLine="720"/>
        <w:rPr>
          <w:rFonts w:ascii="Times New Roman" w:hAnsi="Times New Roman" w:cs="Times New Roman"/>
          <w:color w:val="000000"/>
        </w:rPr>
      </w:pPr>
      <w:hyperlink r:id="rId12" w:history="1">
        <w:r w:rsidR="00214B86" w:rsidRPr="00541BA2">
          <w:rPr>
            <w:rFonts w:ascii="Calibri" w:hAnsi="Calibri" w:cs="Times New Roman"/>
            <w:color w:val="800080"/>
            <w:u w:val="single"/>
          </w:rPr>
          <w:t>https://www.goreni.org/docs/INHAND_nomenclature.pdf</w:t>
        </w:r>
      </w:hyperlink>
    </w:p>
    <w:p w14:paraId="1D0CB43E" w14:textId="16C7D0DC" w:rsidR="00214B86" w:rsidRPr="00214B86" w:rsidRDefault="00C1533E" w:rsidP="00214B86">
      <w:pPr>
        <w:pStyle w:val="ListParagraph"/>
        <w:numPr>
          <w:ilvl w:val="0"/>
          <w:numId w:val="14"/>
        </w:numPr>
        <w:rPr>
          <w:rFonts w:ascii="Times New Roman" w:eastAsia="Times New Roman" w:hAnsi="Times New Roman" w:cs="Times New Roman"/>
          <w:sz w:val="20"/>
          <w:szCs w:val="20"/>
        </w:rPr>
      </w:pPr>
      <w:hyperlink r:id="rId13" w:history="1">
        <w:r w:rsidR="00214B86" w:rsidRPr="00214B86">
          <w:rPr>
            <w:rFonts w:ascii="Calibri" w:eastAsia="Times New Roman" w:hAnsi="Calibri" w:cs="Times New Roman"/>
            <w:color w:val="800080"/>
            <w:u w:val="single"/>
          </w:rPr>
          <w:t>http://lab-ally.com/histopathology-resources/histopathology-glossary/</w:t>
        </w:r>
      </w:hyperlink>
    </w:p>
    <w:p w14:paraId="1E07FB80" w14:textId="13FD9615" w:rsidR="00214B86" w:rsidRPr="00214B86" w:rsidRDefault="00214B86" w:rsidP="00214B86">
      <w:pPr>
        <w:pStyle w:val="ListParagraph"/>
        <w:numPr>
          <w:ilvl w:val="0"/>
          <w:numId w:val="14"/>
        </w:numPr>
        <w:rPr>
          <w:rFonts w:ascii="Times New Roman" w:hAnsi="Times New Roman" w:cs="Times New Roman"/>
          <w:color w:val="000000"/>
        </w:rPr>
      </w:pPr>
      <w:r w:rsidRPr="00214B86">
        <w:rPr>
          <w:rFonts w:ascii="Calibri" w:hAnsi="Calibri" w:cs="Times New Roman"/>
          <w:b/>
          <w:bCs/>
          <w:color w:val="1F497D"/>
        </w:rPr>
        <w:t>International Harmonization of Rat Nomenclature:</w:t>
      </w:r>
    </w:p>
    <w:p w14:paraId="33482C8D" w14:textId="77777777" w:rsidR="00214B86" w:rsidRPr="00541BA2" w:rsidRDefault="00C1533E" w:rsidP="00214B86">
      <w:pPr>
        <w:ind w:firstLine="720"/>
        <w:rPr>
          <w:rFonts w:ascii="Times New Roman" w:hAnsi="Times New Roman" w:cs="Times New Roman"/>
          <w:color w:val="000000"/>
        </w:rPr>
      </w:pPr>
      <w:hyperlink r:id="rId14" w:history="1">
        <w:r w:rsidR="00214B86" w:rsidRPr="00541BA2">
          <w:rPr>
            <w:rFonts w:ascii="Calibri" w:hAnsi="Calibri" w:cs="Times New Roman"/>
            <w:color w:val="800080"/>
            <w:u w:val="single"/>
          </w:rPr>
          <w:t>https://reni.item.fraunhofer.de/reni/rat_nomenclature/index.htm</w:t>
        </w:r>
      </w:hyperlink>
    </w:p>
    <w:p w14:paraId="12DB0311" w14:textId="77777777" w:rsidR="00214B86" w:rsidRPr="00214B86" w:rsidRDefault="00214B86" w:rsidP="00214B86">
      <w:pPr>
        <w:pStyle w:val="ListParagraph"/>
        <w:numPr>
          <w:ilvl w:val="0"/>
          <w:numId w:val="14"/>
        </w:numPr>
        <w:rPr>
          <w:rFonts w:ascii="Calibri" w:hAnsi="Calibri" w:cs="Times New Roman"/>
          <w:b/>
          <w:bCs/>
          <w:color w:val="1F497D"/>
        </w:rPr>
      </w:pPr>
      <w:r w:rsidRPr="00214B86">
        <w:rPr>
          <w:rFonts w:ascii="Calibri" w:hAnsi="Calibri" w:cs="Times New Roman"/>
          <w:b/>
          <w:bCs/>
          <w:color w:val="1F497D"/>
        </w:rPr>
        <w:t>Clinical Observations:</w:t>
      </w:r>
    </w:p>
    <w:p w14:paraId="1A30B922" w14:textId="77777777" w:rsidR="00214B86" w:rsidRPr="00214B86" w:rsidRDefault="00C1533E" w:rsidP="00214B86">
      <w:pPr>
        <w:ind w:left="360"/>
        <w:rPr>
          <w:rFonts w:ascii="Times New Roman" w:hAnsi="Times New Roman" w:cs="Times New Roman"/>
          <w:color w:val="000000"/>
        </w:rPr>
      </w:pPr>
      <w:hyperlink r:id="rId15" w:history="1">
        <w:r w:rsidR="00214B86" w:rsidRPr="00214B86">
          <w:rPr>
            <w:rFonts w:ascii="Calibri" w:hAnsi="Calibri" w:cs="Times New Roman"/>
            <w:color w:val="800080"/>
            <w:u w:val="single"/>
          </w:rPr>
          <w:t>http://onlinelibrary.wiley.com/doi/10.1002/9780470464151.app2/pdf</w:t>
        </w:r>
      </w:hyperlink>
    </w:p>
    <w:p w14:paraId="5EAF04E4" w14:textId="77777777" w:rsidR="00214B86" w:rsidRPr="00214B86" w:rsidRDefault="00214B86" w:rsidP="00214B86">
      <w:pPr>
        <w:pStyle w:val="ListParagraph"/>
        <w:numPr>
          <w:ilvl w:val="0"/>
          <w:numId w:val="14"/>
        </w:numPr>
        <w:rPr>
          <w:rFonts w:ascii="Calibri" w:hAnsi="Calibri" w:cs="Times New Roman"/>
          <w:b/>
          <w:bCs/>
          <w:color w:val="1F497D"/>
        </w:rPr>
      </w:pPr>
      <w:r w:rsidRPr="00214B86">
        <w:rPr>
          <w:rFonts w:ascii="Calibri" w:hAnsi="Calibri" w:cs="Times New Roman"/>
          <w:b/>
          <w:bCs/>
          <w:color w:val="1F497D"/>
        </w:rPr>
        <w:t>Mouse Adult Gross Anatomy Ontology</w:t>
      </w:r>
    </w:p>
    <w:p w14:paraId="4245672A" w14:textId="0B4D87E1" w:rsidR="00214B86" w:rsidRDefault="00C1533E" w:rsidP="00214B86">
      <w:pPr>
        <w:ind w:left="360"/>
      </w:pPr>
      <w:hyperlink r:id="rId16" w:history="1">
        <w:r w:rsidR="00214B86" w:rsidRPr="00214B86">
          <w:rPr>
            <w:rStyle w:val="Hyperlink"/>
          </w:rPr>
          <w:t>https://bioportal.bioontology.org/ontologies/MA?p=classes</w:t>
        </w:r>
      </w:hyperlink>
    </w:p>
    <w:p w14:paraId="1CA26492" w14:textId="149EC613" w:rsidR="00214B86" w:rsidRPr="00214B86" w:rsidRDefault="00214B86" w:rsidP="00214B86">
      <w:pPr>
        <w:ind w:left="720"/>
        <w:rPr>
          <w:rFonts w:ascii="Courier New" w:hAnsi="Courier New" w:cs="Courier New"/>
          <w:color w:val="000000"/>
        </w:rPr>
      </w:pPr>
    </w:p>
    <w:sectPr w:rsidR="00214B86" w:rsidRPr="00214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0DE2"/>
    <w:multiLevelType w:val="multilevel"/>
    <w:tmpl w:val="B942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7391E"/>
    <w:multiLevelType w:val="hybridMultilevel"/>
    <w:tmpl w:val="9018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40B7D"/>
    <w:multiLevelType w:val="hybridMultilevel"/>
    <w:tmpl w:val="43B85BDA"/>
    <w:lvl w:ilvl="0" w:tplc="CCF0C97C">
      <w:start w:val="1"/>
      <w:numFmt w:val="decimal"/>
      <w:lvlText w:val="%1."/>
      <w:lvlJc w:val="left"/>
      <w:pPr>
        <w:ind w:left="720" w:hanging="360"/>
      </w:pPr>
      <w:rPr>
        <w:rFonts w:ascii="Calibri" w:hAnsi="Calibri" w:hint="default"/>
        <w:b/>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82AA9"/>
    <w:multiLevelType w:val="hybridMultilevel"/>
    <w:tmpl w:val="C2665560"/>
    <w:styleLink w:val="ImportedStyle1"/>
    <w:lvl w:ilvl="0" w:tplc="B4B8849A">
      <w:start w:val="1"/>
      <w:numFmt w:val="bullet"/>
      <w:lvlText w:val="·"/>
      <w:lvlJc w:val="left"/>
      <w:pPr>
        <w:ind w:left="7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ED53C">
      <w:start w:val="1"/>
      <w:numFmt w:val="bullet"/>
      <w:lvlText w:val="o"/>
      <w:lvlJc w:val="left"/>
      <w:pPr>
        <w:ind w:left="14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0AC6EA">
      <w:start w:val="1"/>
      <w:numFmt w:val="bullet"/>
      <w:lvlText w:val="▪"/>
      <w:lvlJc w:val="left"/>
      <w:pPr>
        <w:ind w:left="22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68EDF4">
      <w:start w:val="1"/>
      <w:numFmt w:val="bullet"/>
      <w:lvlText w:val="·"/>
      <w:lvlJc w:val="left"/>
      <w:pPr>
        <w:ind w:left="29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D277B8">
      <w:start w:val="1"/>
      <w:numFmt w:val="bullet"/>
      <w:lvlText w:val="o"/>
      <w:lvlJc w:val="left"/>
      <w:pPr>
        <w:ind w:left="36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4EBF8C">
      <w:start w:val="1"/>
      <w:numFmt w:val="bullet"/>
      <w:lvlText w:val="▪"/>
      <w:lvlJc w:val="left"/>
      <w:pPr>
        <w:ind w:left="43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98C0B2">
      <w:start w:val="1"/>
      <w:numFmt w:val="bullet"/>
      <w:lvlText w:val="·"/>
      <w:lvlJc w:val="left"/>
      <w:pPr>
        <w:ind w:left="50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10713E">
      <w:start w:val="1"/>
      <w:numFmt w:val="bullet"/>
      <w:lvlText w:val="o"/>
      <w:lvlJc w:val="left"/>
      <w:pPr>
        <w:ind w:left="58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96588A">
      <w:start w:val="1"/>
      <w:numFmt w:val="bullet"/>
      <w:lvlText w:val="▪"/>
      <w:lvlJc w:val="left"/>
      <w:pPr>
        <w:ind w:left="65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39D02AE"/>
    <w:multiLevelType w:val="hybridMultilevel"/>
    <w:tmpl w:val="7B68D2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9F7530"/>
    <w:multiLevelType w:val="hybridMultilevel"/>
    <w:tmpl w:val="2C26FCE4"/>
    <w:lvl w:ilvl="0" w:tplc="54F6D408">
      <w:start w:val="1"/>
      <w:numFmt w:val="bullet"/>
      <w:lvlText w:val="•"/>
      <w:lvlJc w:val="left"/>
      <w:pPr>
        <w:tabs>
          <w:tab w:val="num" w:pos="720"/>
        </w:tabs>
        <w:ind w:left="720" w:hanging="360"/>
      </w:pPr>
      <w:rPr>
        <w:rFonts w:ascii="Arial" w:hAnsi="Arial" w:hint="default"/>
      </w:rPr>
    </w:lvl>
    <w:lvl w:ilvl="1" w:tplc="F4ECB59E" w:tentative="1">
      <w:start w:val="1"/>
      <w:numFmt w:val="bullet"/>
      <w:lvlText w:val="•"/>
      <w:lvlJc w:val="left"/>
      <w:pPr>
        <w:tabs>
          <w:tab w:val="num" w:pos="1440"/>
        </w:tabs>
        <w:ind w:left="1440" w:hanging="360"/>
      </w:pPr>
      <w:rPr>
        <w:rFonts w:ascii="Arial" w:hAnsi="Arial" w:hint="default"/>
      </w:rPr>
    </w:lvl>
    <w:lvl w:ilvl="2" w:tplc="05C24B7E" w:tentative="1">
      <w:start w:val="1"/>
      <w:numFmt w:val="bullet"/>
      <w:lvlText w:val="•"/>
      <w:lvlJc w:val="left"/>
      <w:pPr>
        <w:tabs>
          <w:tab w:val="num" w:pos="2160"/>
        </w:tabs>
        <w:ind w:left="2160" w:hanging="360"/>
      </w:pPr>
      <w:rPr>
        <w:rFonts w:ascii="Arial" w:hAnsi="Arial" w:hint="default"/>
      </w:rPr>
    </w:lvl>
    <w:lvl w:ilvl="3" w:tplc="961C1A8A" w:tentative="1">
      <w:start w:val="1"/>
      <w:numFmt w:val="bullet"/>
      <w:lvlText w:val="•"/>
      <w:lvlJc w:val="left"/>
      <w:pPr>
        <w:tabs>
          <w:tab w:val="num" w:pos="2880"/>
        </w:tabs>
        <w:ind w:left="2880" w:hanging="360"/>
      </w:pPr>
      <w:rPr>
        <w:rFonts w:ascii="Arial" w:hAnsi="Arial" w:hint="default"/>
      </w:rPr>
    </w:lvl>
    <w:lvl w:ilvl="4" w:tplc="6ED8F602" w:tentative="1">
      <w:start w:val="1"/>
      <w:numFmt w:val="bullet"/>
      <w:lvlText w:val="•"/>
      <w:lvlJc w:val="left"/>
      <w:pPr>
        <w:tabs>
          <w:tab w:val="num" w:pos="3600"/>
        </w:tabs>
        <w:ind w:left="3600" w:hanging="360"/>
      </w:pPr>
      <w:rPr>
        <w:rFonts w:ascii="Arial" w:hAnsi="Arial" w:hint="default"/>
      </w:rPr>
    </w:lvl>
    <w:lvl w:ilvl="5" w:tplc="3BCA1E94" w:tentative="1">
      <w:start w:val="1"/>
      <w:numFmt w:val="bullet"/>
      <w:lvlText w:val="•"/>
      <w:lvlJc w:val="left"/>
      <w:pPr>
        <w:tabs>
          <w:tab w:val="num" w:pos="4320"/>
        </w:tabs>
        <w:ind w:left="4320" w:hanging="360"/>
      </w:pPr>
      <w:rPr>
        <w:rFonts w:ascii="Arial" w:hAnsi="Arial" w:hint="default"/>
      </w:rPr>
    </w:lvl>
    <w:lvl w:ilvl="6" w:tplc="611E2418" w:tentative="1">
      <w:start w:val="1"/>
      <w:numFmt w:val="bullet"/>
      <w:lvlText w:val="•"/>
      <w:lvlJc w:val="left"/>
      <w:pPr>
        <w:tabs>
          <w:tab w:val="num" w:pos="5040"/>
        </w:tabs>
        <w:ind w:left="5040" w:hanging="360"/>
      </w:pPr>
      <w:rPr>
        <w:rFonts w:ascii="Arial" w:hAnsi="Arial" w:hint="default"/>
      </w:rPr>
    </w:lvl>
    <w:lvl w:ilvl="7" w:tplc="3348D1BA" w:tentative="1">
      <w:start w:val="1"/>
      <w:numFmt w:val="bullet"/>
      <w:lvlText w:val="•"/>
      <w:lvlJc w:val="left"/>
      <w:pPr>
        <w:tabs>
          <w:tab w:val="num" w:pos="5760"/>
        </w:tabs>
        <w:ind w:left="5760" w:hanging="360"/>
      </w:pPr>
      <w:rPr>
        <w:rFonts w:ascii="Arial" w:hAnsi="Arial" w:hint="default"/>
      </w:rPr>
    </w:lvl>
    <w:lvl w:ilvl="8" w:tplc="8BBE95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222A2E"/>
    <w:multiLevelType w:val="hybridMultilevel"/>
    <w:tmpl w:val="DA96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233E0"/>
    <w:multiLevelType w:val="hybridMultilevel"/>
    <w:tmpl w:val="3AE0E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74408"/>
    <w:multiLevelType w:val="hybridMultilevel"/>
    <w:tmpl w:val="63AC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22346"/>
    <w:multiLevelType w:val="hybridMultilevel"/>
    <w:tmpl w:val="B85A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76A20"/>
    <w:multiLevelType w:val="hybridMultilevel"/>
    <w:tmpl w:val="15E8D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25BDE"/>
    <w:multiLevelType w:val="hybridMultilevel"/>
    <w:tmpl w:val="3AE0E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F08BE"/>
    <w:multiLevelType w:val="hybridMultilevel"/>
    <w:tmpl w:val="058AE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6A179D"/>
    <w:multiLevelType w:val="hybridMultilevel"/>
    <w:tmpl w:val="22CC4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D5FD1"/>
    <w:multiLevelType w:val="hybridMultilevel"/>
    <w:tmpl w:val="653AB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91A28AF"/>
    <w:multiLevelType w:val="hybridMultilevel"/>
    <w:tmpl w:val="C2665560"/>
    <w:numStyleLink w:val="ImportedStyle1"/>
  </w:abstractNum>
  <w:abstractNum w:abstractNumId="16" w15:restartNumberingAfterBreak="0">
    <w:nsid w:val="7C1E62EC"/>
    <w:multiLevelType w:val="hybridMultilevel"/>
    <w:tmpl w:val="B61A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14"/>
  </w:num>
  <w:num w:numId="5">
    <w:abstractNumId w:val="12"/>
  </w:num>
  <w:num w:numId="6">
    <w:abstractNumId w:val="3"/>
  </w:num>
  <w:num w:numId="7">
    <w:abstractNumId w:val="15"/>
  </w:num>
  <w:num w:numId="8">
    <w:abstractNumId w:val="9"/>
  </w:num>
  <w:num w:numId="9">
    <w:abstractNumId w:val="16"/>
  </w:num>
  <w:num w:numId="10">
    <w:abstractNumId w:val="6"/>
  </w:num>
  <w:num w:numId="11">
    <w:abstractNumId w:val="13"/>
  </w:num>
  <w:num w:numId="12">
    <w:abstractNumId w:val="0"/>
  </w:num>
  <w:num w:numId="13">
    <w:abstractNumId w:val="1"/>
  </w:num>
  <w:num w:numId="14">
    <w:abstractNumId w:val="2"/>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AD"/>
    <w:rsid w:val="00031978"/>
    <w:rsid w:val="00035330"/>
    <w:rsid w:val="00040B4C"/>
    <w:rsid w:val="0004649F"/>
    <w:rsid w:val="00082FCC"/>
    <w:rsid w:val="000C710E"/>
    <w:rsid w:val="000D55B5"/>
    <w:rsid w:val="000E463A"/>
    <w:rsid w:val="00107459"/>
    <w:rsid w:val="00113478"/>
    <w:rsid w:val="0015362A"/>
    <w:rsid w:val="00160357"/>
    <w:rsid w:val="00165A79"/>
    <w:rsid w:val="00165D8E"/>
    <w:rsid w:val="00170C2A"/>
    <w:rsid w:val="00172013"/>
    <w:rsid w:val="00195188"/>
    <w:rsid w:val="00195242"/>
    <w:rsid w:val="001B460E"/>
    <w:rsid w:val="001B5BF4"/>
    <w:rsid w:val="001C676A"/>
    <w:rsid w:val="001C6C86"/>
    <w:rsid w:val="001D3666"/>
    <w:rsid w:val="00214656"/>
    <w:rsid w:val="00214B86"/>
    <w:rsid w:val="00232C3C"/>
    <w:rsid w:val="00244EB2"/>
    <w:rsid w:val="00293238"/>
    <w:rsid w:val="002B2E37"/>
    <w:rsid w:val="002B5F2D"/>
    <w:rsid w:val="002C1953"/>
    <w:rsid w:val="002D4650"/>
    <w:rsid w:val="002E3345"/>
    <w:rsid w:val="002E7D09"/>
    <w:rsid w:val="002F40D1"/>
    <w:rsid w:val="002F4506"/>
    <w:rsid w:val="003146D1"/>
    <w:rsid w:val="00320600"/>
    <w:rsid w:val="00324260"/>
    <w:rsid w:val="0033422C"/>
    <w:rsid w:val="003501A5"/>
    <w:rsid w:val="00353EBA"/>
    <w:rsid w:val="003A1472"/>
    <w:rsid w:val="003C484A"/>
    <w:rsid w:val="003E67D8"/>
    <w:rsid w:val="00450620"/>
    <w:rsid w:val="00452A15"/>
    <w:rsid w:val="0048494E"/>
    <w:rsid w:val="004D7D56"/>
    <w:rsid w:val="005327F2"/>
    <w:rsid w:val="005770C8"/>
    <w:rsid w:val="005C6A5B"/>
    <w:rsid w:val="00602FE2"/>
    <w:rsid w:val="00614E60"/>
    <w:rsid w:val="00620F2E"/>
    <w:rsid w:val="00632316"/>
    <w:rsid w:val="006346DE"/>
    <w:rsid w:val="00660735"/>
    <w:rsid w:val="0066679B"/>
    <w:rsid w:val="006672E2"/>
    <w:rsid w:val="00674AAE"/>
    <w:rsid w:val="006914A8"/>
    <w:rsid w:val="006C77D3"/>
    <w:rsid w:val="006E26F4"/>
    <w:rsid w:val="006F4E00"/>
    <w:rsid w:val="006F66B2"/>
    <w:rsid w:val="00703000"/>
    <w:rsid w:val="007148DC"/>
    <w:rsid w:val="00721BF7"/>
    <w:rsid w:val="007317E0"/>
    <w:rsid w:val="007618A3"/>
    <w:rsid w:val="0076451F"/>
    <w:rsid w:val="007873D1"/>
    <w:rsid w:val="007B3D54"/>
    <w:rsid w:val="007D14A2"/>
    <w:rsid w:val="007D1562"/>
    <w:rsid w:val="007D5AEA"/>
    <w:rsid w:val="007E6F04"/>
    <w:rsid w:val="00802230"/>
    <w:rsid w:val="0081685C"/>
    <w:rsid w:val="00827864"/>
    <w:rsid w:val="00842294"/>
    <w:rsid w:val="00842427"/>
    <w:rsid w:val="0086642B"/>
    <w:rsid w:val="008720A6"/>
    <w:rsid w:val="008B4B26"/>
    <w:rsid w:val="008E5601"/>
    <w:rsid w:val="008F6E3F"/>
    <w:rsid w:val="00934276"/>
    <w:rsid w:val="00935E58"/>
    <w:rsid w:val="0094657A"/>
    <w:rsid w:val="00950110"/>
    <w:rsid w:val="0095051D"/>
    <w:rsid w:val="00954F6D"/>
    <w:rsid w:val="00956B80"/>
    <w:rsid w:val="00967787"/>
    <w:rsid w:val="009757BD"/>
    <w:rsid w:val="00985421"/>
    <w:rsid w:val="009976F7"/>
    <w:rsid w:val="00997711"/>
    <w:rsid w:val="00997E50"/>
    <w:rsid w:val="009A4357"/>
    <w:rsid w:val="009C271F"/>
    <w:rsid w:val="009D4A29"/>
    <w:rsid w:val="00A012E0"/>
    <w:rsid w:val="00A07BA1"/>
    <w:rsid w:val="00A312B0"/>
    <w:rsid w:val="00A4133C"/>
    <w:rsid w:val="00A60BA5"/>
    <w:rsid w:val="00A65BDA"/>
    <w:rsid w:val="00A803BB"/>
    <w:rsid w:val="00A8040D"/>
    <w:rsid w:val="00AB425F"/>
    <w:rsid w:val="00AB6CD7"/>
    <w:rsid w:val="00AD141E"/>
    <w:rsid w:val="00AD7582"/>
    <w:rsid w:val="00AF1B57"/>
    <w:rsid w:val="00AF7FA7"/>
    <w:rsid w:val="00B120AE"/>
    <w:rsid w:val="00B40DA7"/>
    <w:rsid w:val="00B56480"/>
    <w:rsid w:val="00B56DE5"/>
    <w:rsid w:val="00B8517A"/>
    <w:rsid w:val="00BC38EE"/>
    <w:rsid w:val="00BE2F0D"/>
    <w:rsid w:val="00BF3E38"/>
    <w:rsid w:val="00C12C99"/>
    <w:rsid w:val="00C1533E"/>
    <w:rsid w:val="00C206AD"/>
    <w:rsid w:val="00C437A2"/>
    <w:rsid w:val="00C927EB"/>
    <w:rsid w:val="00CC4A65"/>
    <w:rsid w:val="00CD24E4"/>
    <w:rsid w:val="00CD3126"/>
    <w:rsid w:val="00CF1287"/>
    <w:rsid w:val="00CF1E85"/>
    <w:rsid w:val="00D100BF"/>
    <w:rsid w:val="00D240B6"/>
    <w:rsid w:val="00D2451F"/>
    <w:rsid w:val="00D41C18"/>
    <w:rsid w:val="00D516D4"/>
    <w:rsid w:val="00D523BC"/>
    <w:rsid w:val="00D62884"/>
    <w:rsid w:val="00D960F8"/>
    <w:rsid w:val="00DA5841"/>
    <w:rsid w:val="00DA7A6C"/>
    <w:rsid w:val="00DB5031"/>
    <w:rsid w:val="00DD4C18"/>
    <w:rsid w:val="00DE0A5B"/>
    <w:rsid w:val="00DF10EB"/>
    <w:rsid w:val="00E21015"/>
    <w:rsid w:val="00E3707B"/>
    <w:rsid w:val="00E41E49"/>
    <w:rsid w:val="00E5477B"/>
    <w:rsid w:val="00E547B1"/>
    <w:rsid w:val="00E71CC0"/>
    <w:rsid w:val="00E77252"/>
    <w:rsid w:val="00E86405"/>
    <w:rsid w:val="00E875E7"/>
    <w:rsid w:val="00E92534"/>
    <w:rsid w:val="00E97573"/>
    <w:rsid w:val="00ED0B3F"/>
    <w:rsid w:val="00ED2A4F"/>
    <w:rsid w:val="00EE609F"/>
    <w:rsid w:val="00F1074C"/>
    <w:rsid w:val="00F31CC0"/>
    <w:rsid w:val="00F324F0"/>
    <w:rsid w:val="00F428C1"/>
    <w:rsid w:val="00F51591"/>
    <w:rsid w:val="00F62252"/>
    <w:rsid w:val="00F6608E"/>
    <w:rsid w:val="00F72003"/>
    <w:rsid w:val="00F948AC"/>
    <w:rsid w:val="00FA045D"/>
    <w:rsid w:val="00FA66E7"/>
    <w:rsid w:val="00FC1042"/>
    <w:rsid w:val="00FC781B"/>
    <w:rsid w:val="00FF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F0AA"/>
  <w15:chartTrackingRefBased/>
  <w15:docId w15:val="{E845ADF6-C326-4DEE-ABC6-2C9BBA2C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6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06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607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206AD"/>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Heading1Char">
    <w:name w:val="Heading 1 Char"/>
    <w:basedOn w:val="DefaultParagraphFont"/>
    <w:link w:val="Heading1"/>
    <w:uiPriority w:val="9"/>
    <w:rsid w:val="00C206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06A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qFormat/>
    <w:rsid w:val="00AF7FA7"/>
    <w:pPr>
      <w:ind w:left="720"/>
      <w:contextualSpacing/>
    </w:pPr>
  </w:style>
  <w:style w:type="character" w:styleId="Hyperlink">
    <w:name w:val="Hyperlink"/>
    <w:basedOn w:val="DefaultParagraphFont"/>
    <w:uiPriority w:val="99"/>
    <w:unhideWhenUsed/>
    <w:rsid w:val="00AF7FA7"/>
    <w:rPr>
      <w:color w:val="0563C1" w:themeColor="hyperlink"/>
      <w:u w:val="single"/>
    </w:rPr>
  </w:style>
  <w:style w:type="character" w:styleId="IntenseEmphasis">
    <w:name w:val="Intense Emphasis"/>
    <w:basedOn w:val="DefaultParagraphFont"/>
    <w:uiPriority w:val="21"/>
    <w:qFormat/>
    <w:rsid w:val="008720A6"/>
    <w:rPr>
      <w:i/>
      <w:iCs/>
      <w:color w:val="5B9BD5" w:themeColor="accent1"/>
    </w:rPr>
  </w:style>
  <w:style w:type="character" w:customStyle="1" w:styleId="Heading3Char">
    <w:name w:val="Heading 3 Char"/>
    <w:basedOn w:val="DefaultParagraphFont"/>
    <w:link w:val="Heading3"/>
    <w:uiPriority w:val="9"/>
    <w:rsid w:val="00660735"/>
    <w:rPr>
      <w:rFonts w:asciiTheme="majorHAnsi" w:eastAsiaTheme="majorEastAsia" w:hAnsiTheme="majorHAnsi" w:cstheme="majorBidi"/>
      <w:color w:val="1F4D78" w:themeColor="accent1" w:themeShade="7F"/>
      <w:sz w:val="24"/>
      <w:szCs w:val="24"/>
    </w:rPr>
  </w:style>
  <w:style w:type="numbering" w:customStyle="1" w:styleId="ImportedStyle1">
    <w:name w:val="Imported Style 1"/>
    <w:rsid w:val="006F66B2"/>
    <w:pPr>
      <w:numPr>
        <w:numId w:val="6"/>
      </w:numPr>
    </w:pPr>
  </w:style>
  <w:style w:type="character" w:styleId="CommentReference">
    <w:name w:val="annotation reference"/>
    <w:basedOn w:val="DefaultParagraphFont"/>
    <w:uiPriority w:val="99"/>
    <w:semiHidden/>
    <w:unhideWhenUsed/>
    <w:rsid w:val="00950110"/>
    <w:rPr>
      <w:sz w:val="16"/>
      <w:szCs w:val="16"/>
    </w:rPr>
  </w:style>
  <w:style w:type="paragraph" w:styleId="CommentText">
    <w:name w:val="annotation text"/>
    <w:basedOn w:val="Normal"/>
    <w:link w:val="CommentTextChar"/>
    <w:uiPriority w:val="99"/>
    <w:semiHidden/>
    <w:unhideWhenUsed/>
    <w:rsid w:val="00950110"/>
    <w:pPr>
      <w:spacing w:line="240" w:lineRule="auto"/>
    </w:pPr>
    <w:rPr>
      <w:sz w:val="20"/>
      <w:szCs w:val="20"/>
    </w:rPr>
  </w:style>
  <w:style w:type="character" w:customStyle="1" w:styleId="CommentTextChar">
    <w:name w:val="Comment Text Char"/>
    <w:basedOn w:val="DefaultParagraphFont"/>
    <w:link w:val="CommentText"/>
    <w:uiPriority w:val="99"/>
    <w:semiHidden/>
    <w:rsid w:val="00950110"/>
    <w:rPr>
      <w:sz w:val="20"/>
      <w:szCs w:val="20"/>
    </w:rPr>
  </w:style>
  <w:style w:type="paragraph" w:styleId="CommentSubject">
    <w:name w:val="annotation subject"/>
    <w:basedOn w:val="CommentText"/>
    <w:next w:val="CommentText"/>
    <w:link w:val="CommentSubjectChar"/>
    <w:uiPriority w:val="99"/>
    <w:semiHidden/>
    <w:unhideWhenUsed/>
    <w:rsid w:val="00950110"/>
    <w:rPr>
      <w:b/>
      <w:bCs/>
    </w:rPr>
  </w:style>
  <w:style w:type="character" w:customStyle="1" w:styleId="CommentSubjectChar">
    <w:name w:val="Comment Subject Char"/>
    <w:basedOn w:val="CommentTextChar"/>
    <w:link w:val="CommentSubject"/>
    <w:uiPriority w:val="99"/>
    <w:semiHidden/>
    <w:rsid w:val="00950110"/>
    <w:rPr>
      <w:b/>
      <w:bCs/>
      <w:sz w:val="20"/>
      <w:szCs w:val="20"/>
    </w:rPr>
  </w:style>
  <w:style w:type="paragraph" w:styleId="BalloonText">
    <w:name w:val="Balloon Text"/>
    <w:basedOn w:val="Normal"/>
    <w:link w:val="BalloonTextChar"/>
    <w:uiPriority w:val="99"/>
    <w:semiHidden/>
    <w:unhideWhenUsed/>
    <w:rsid w:val="00950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110"/>
    <w:rPr>
      <w:rFonts w:ascii="Segoe UI" w:hAnsi="Segoe UI" w:cs="Segoe UI"/>
      <w:sz w:val="18"/>
      <w:szCs w:val="18"/>
    </w:rPr>
  </w:style>
  <w:style w:type="character" w:customStyle="1" w:styleId="apple-converted-space">
    <w:name w:val="apple-converted-space"/>
    <w:basedOn w:val="DefaultParagraphFont"/>
    <w:rsid w:val="00214B86"/>
  </w:style>
  <w:style w:type="paragraph" w:styleId="NormalWeb">
    <w:name w:val="Normal (Web)"/>
    <w:basedOn w:val="Normal"/>
    <w:uiPriority w:val="99"/>
    <w:semiHidden/>
    <w:unhideWhenUsed/>
    <w:rsid w:val="00C437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91751">
      <w:bodyDiv w:val="1"/>
      <w:marLeft w:val="0"/>
      <w:marRight w:val="0"/>
      <w:marTop w:val="0"/>
      <w:marBottom w:val="0"/>
      <w:divBdr>
        <w:top w:val="none" w:sz="0" w:space="0" w:color="auto"/>
        <w:left w:val="none" w:sz="0" w:space="0" w:color="auto"/>
        <w:bottom w:val="none" w:sz="0" w:space="0" w:color="auto"/>
        <w:right w:val="none" w:sz="0" w:space="0" w:color="auto"/>
      </w:divBdr>
    </w:div>
    <w:div w:id="431320987">
      <w:bodyDiv w:val="1"/>
      <w:marLeft w:val="0"/>
      <w:marRight w:val="0"/>
      <w:marTop w:val="0"/>
      <w:marBottom w:val="0"/>
      <w:divBdr>
        <w:top w:val="none" w:sz="0" w:space="0" w:color="auto"/>
        <w:left w:val="none" w:sz="0" w:space="0" w:color="auto"/>
        <w:bottom w:val="none" w:sz="0" w:space="0" w:color="auto"/>
        <w:right w:val="none" w:sz="0" w:space="0" w:color="auto"/>
      </w:divBdr>
    </w:div>
    <w:div w:id="436297248">
      <w:bodyDiv w:val="1"/>
      <w:marLeft w:val="0"/>
      <w:marRight w:val="0"/>
      <w:marTop w:val="0"/>
      <w:marBottom w:val="0"/>
      <w:divBdr>
        <w:top w:val="none" w:sz="0" w:space="0" w:color="auto"/>
        <w:left w:val="none" w:sz="0" w:space="0" w:color="auto"/>
        <w:bottom w:val="none" w:sz="0" w:space="0" w:color="auto"/>
        <w:right w:val="none" w:sz="0" w:space="0" w:color="auto"/>
      </w:divBdr>
    </w:div>
    <w:div w:id="476184824">
      <w:bodyDiv w:val="1"/>
      <w:marLeft w:val="0"/>
      <w:marRight w:val="0"/>
      <w:marTop w:val="0"/>
      <w:marBottom w:val="0"/>
      <w:divBdr>
        <w:top w:val="none" w:sz="0" w:space="0" w:color="auto"/>
        <w:left w:val="none" w:sz="0" w:space="0" w:color="auto"/>
        <w:bottom w:val="none" w:sz="0" w:space="0" w:color="auto"/>
        <w:right w:val="none" w:sz="0" w:space="0" w:color="auto"/>
      </w:divBdr>
    </w:div>
    <w:div w:id="527985983">
      <w:bodyDiv w:val="1"/>
      <w:marLeft w:val="0"/>
      <w:marRight w:val="0"/>
      <w:marTop w:val="0"/>
      <w:marBottom w:val="0"/>
      <w:divBdr>
        <w:top w:val="none" w:sz="0" w:space="0" w:color="auto"/>
        <w:left w:val="none" w:sz="0" w:space="0" w:color="auto"/>
        <w:bottom w:val="none" w:sz="0" w:space="0" w:color="auto"/>
        <w:right w:val="none" w:sz="0" w:space="0" w:color="auto"/>
      </w:divBdr>
    </w:div>
    <w:div w:id="1056705194">
      <w:bodyDiv w:val="1"/>
      <w:marLeft w:val="0"/>
      <w:marRight w:val="0"/>
      <w:marTop w:val="0"/>
      <w:marBottom w:val="0"/>
      <w:divBdr>
        <w:top w:val="none" w:sz="0" w:space="0" w:color="auto"/>
        <w:left w:val="none" w:sz="0" w:space="0" w:color="auto"/>
        <w:bottom w:val="none" w:sz="0" w:space="0" w:color="auto"/>
        <w:right w:val="none" w:sz="0" w:space="0" w:color="auto"/>
      </w:divBdr>
    </w:div>
    <w:div w:id="1146437075">
      <w:bodyDiv w:val="1"/>
      <w:marLeft w:val="0"/>
      <w:marRight w:val="0"/>
      <w:marTop w:val="0"/>
      <w:marBottom w:val="0"/>
      <w:divBdr>
        <w:top w:val="none" w:sz="0" w:space="0" w:color="auto"/>
        <w:left w:val="none" w:sz="0" w:space="0" w:color="auto"/>
        <w:bottom w:val="none" w:sz="0" w:space="0" w:color="auto"/>
        <w:right w:val="none" w:sz="0" w:space="0" w:color="auto"/>
      </w:divBdr>
    </w:div>
    <w:div w:id="1204829346">
      <w:bodyDiv w:val="1"/>
      <w:marLeft w:val="0"/>
      <w:marRight w:val="0"/>
      <w:marTop w:val="0"/>
      <w:marBottom w:val="0"/>
      <w:divBdr>
        <w:top w:val="none" w:sz="0" w:space="0" w:color="auto"/>
        <w:left w:val="none" w:sz="0" w:space="0" w:color="auto"/>
        <w:bottom w:val="none" w:sz="0" w:space="0" w:color="auto"/>
        <w:right w:val="none" w:sz="0" w:space="0" w:color="auto"/>
      </w:divBdr>
    </w:div>
    <w:div w:id="1290015496">
      <w:bodyDiv w:val="1"/>
      <w:marLeft w:val="0"/>
      <w:marRight w:val="0"/>
      <w:marTop w:val="0"/>
      <w:marBottom w:val="0"/>
      <w:divBdr>
        <w:top w:val="none" w:sz="0" w:space="0" w:color="auto"/>
        <w:left w:val="none" w:sz="0" w:space="0" w:color="auto"/>
        <w:bottom w:val="none" w:sz="0" w:space="0" w:color="auto"/>
        <w:right w:val="none" w:sz="0" w:space="0" w:color="auto"/>
      </w:divBdr>
    </w:div>
    <w:div w:id="1343044673">
      <w:bodyDiv w:val="1"/>
      <w:marLeft w:val="0"/>
      <w:marRight w:val="0"/>
      <w:marTop w:val="0"/>
      <w:marBottom w:val="0"/>
      <w:divBdr>
        <w:top w:val="none" w:sz="0" w:space="0" w:color="auto"/>
        <w:left w:val="none" w:sz="0" w:space="0" w:color="auto"/>
        <w:bottom w:val="none" w:sz="0" w:space="0" w:color="auto"/>
        <w:right w:val="none" w:sz="0" w:space="0" w:color="auto"/>
      </w:divBdr>
    </w:div>
    <w:div w:id="1362047554">
      <w:bodyDiv w:val="1"/>
      <w:marLeft w:val="0"/>
      <w:marRight w:val="0"/>
      <w:marTop w:val="0"/>
      <w:marBottom w:val="0"/>
      <w:divBdr>
        <w:top w:val="none" w:sz="0" w:space="0" w:color="auto"/>
        <w:left w:val="none" w:sz="0" w:space="0" w:color="auto"/>
        <w:bottom w:val="none" w:sz="0" w:space="0" w:color="auto"/>
        <w:right w:val="none" w:sz="0" w:space="0" w:color="auto"/>
      </w:divBdr>
    </w:div>
    <w:div w:id="1465268886">
      <w:bodyDiv w:val="1"/>
      <w:marLeft w:val="0"/>
      <w:marRight w:val="0"/>
      <w:marTop w:val="0"/>
      <w:marBottom w:val="0"/>
      <w:divBdr>
        <w:top w:val="none" w:sz="0" w:space="0" w:color="auto"/>
        <w:left w:val="none" w:sz="0" w:space="0" w:color="auto"/>
        <w:bottom w:val="none" w:sz="0" w:space="0" w:color="auto"/>
        <w:right w:val="none" w:sz="0" w:space="0" w:color="auto"/>
      </w:divBdr>
    </w:div>
    <w:div w:id="1501432219">
      <w:bodyDiv w:val="1"/>
      <w:marLeft w:val="0"/>
      <w:marRight w:val="0"/>
      <w:marTop w:val="0"/>
      <w:marBottom w:val="0"/>
      <w:divBdr>
        <w:top w:val="none" w:sz="0" w:space="0" w:color="auto"/>
        <w:left w:val="none" w:sz="0" w:space="0" w:color="auto"/>
        <w:bottom w:val="none" w:sz="0" w:space="0" w:color="auto"/>
        <w:right w:val="none" w:sz="0" w:space="0" w:color="auto"/>
      </w:divBdr>
      <w:divsChild>
        <w:div w:id="735712456">
          <w:marLeft w:val="547"/>
          <w:marRight w:val="0"/>
          <w:marTop w:val="0"/>
          <w:marBottom w:val="0"/>
          <w:divBdr>
            <w:top w:val="none" w:sz="0" w:space="0" w:color="auto"/>
            <w:left w:val="none" w:sz="0" w:space="0" w:color="auto"/>
            <w:bottom w:val="none" w:sz="0" w:space="0" w:color="auto"/>
            <w:right w:val="none" w:sz="0" w:space="0" w:color="auto"/>
          </w:divBdr>
        </w:div>
        <w:div w:id="1225024707">
          <w:marLeft w:val="547"/>
          <w:marRight w:val="0"/>
          <w:marTop w:val="0"/>
          <w:marBottom w:val="0"/>
          <w:divBdr>
            <w:top w:val="none" w:sz="0" w:space="0" w:color="auto"/>
            <w:left w:val="none" w:sz="0" w:space="0" w:color="auto"/>
            <w:bottom w:val="none" w:sz="0" w:space="0" w:color="auto"/>
            <w:right w:val="none" w:sz="0" w:space="0" w:color="auto"/>
          </w:divBdr>
        </w:div>
        <w:div w:id="1954437332">
          <w:marLeft w:val="547"/>
          <w:marRight w:val="0"/>
          <w:marTop w:val="0"/>
          <w:marBottom w:val="0"/>
          <w:divBdr>
            <w:top w:val="none" w:sz="0" w:space="0" w:color="auto"/>
            <w:left w:val="none" w:sz="0" w:space="0" w:color="auto"/>
            <w:bottom w:val="none" w:sz="0" w:space="0" w:color="auto"/>
            <w:right w:val="none" w:sz="0" w:space="0" w:color="auto"/>
          </w:divBdr>
        </w:div>
      </w:divsChild>
    </w:div>
    <w:div w:id="1538665126">
      <w:bodyDiv w:val="1"/>
      <w:marLeft w:val="0"/>
      <w:marRight w:val="0"/>
      <w:marTop w:val="0"/>
      <w:marBottom w:val="0"/>
      <w:divBdr>
        <w:top w:val="none" w:sz="0" w:space="0" w:color="auto"/>
        <w:left w:val="none" w:sz="0" w:space="0" w:color="auto"/>
        <w:bottom w:val="none" w:sz="0" w:space="0" w:color="auto"/>
        <w:right w:val="none" w:sz="0" w:space="0" w:color="auto"/>
      </w:divBdr>
    </w:div>
    <w:div w:id="1636644899">
      <w:bodyDiv w:val="1"/>
      <w:marLeft w:val="0"/>
      <w:marRight w:val="0"/>
      <w:marTop w:val="0"/>
      <w:marBottom w:val="0"/>
      <w:divBdr>
        <w:top w:val="none" w:sz="0" w:space="0" w:color="auto"/>
        <w:left w:val="none" w:sz="0" w:space="0" w:color="auto"/>
        <w:bottom w:val="none" w:sz="0" w:space="0" w:color="auto"/>
        <w:right w:val="none" w:sz="0" w:space="0" w:color="auto"/>
      </w:divBdr>
    </w:div>
    <w:div w:id="1818913436">
      <w:bodyDiv w:val="1"/>
      <w:marLeft w:val="0"/>
      <w:marRight w:val="0"/>
      <w:marTop w:val="0"/>
      <w:marBottom w:val="0"/>
      <w:divBdr>
        <w:top w:val="none" w:sz="0" w:space="0" w:color="auto"/>
        <w:left w:val="none" w:sz="0" w:space="0" w:color="auto"/>
        <w:bottom w:val="none" w:sz="0" w:space="0" w:color="auto"/>
        <w:right w:val="none" w:sz="0" w:space="0" w:color="auto"/>
      </w:divBdr>
    </w:div>
    <w:div w:id="1847791202">
      <w:bodyDiv w:val="1"/>
      <w:marLeft w:val="0"/>
      <w:marRight w:val="0"/>
      <w:marTop w:val="0"/>
      <w:marBottom w:val="0"/>
      <w:divBdr>
        <w:top w:val="none" w:sz="0" w:space="0" w:color="auto"/>
        <w:left w:val="none" w:sz="0" w:space="0" w:color="auto"/>
        <w:bottom w:val="none" w:sz="0" w:space="0" w:color="auto"/>
        <w:right w:val="none" w:sz="0" w:space="0" w:color="auto"/>
      </w:divBdr>
    </w:div>
    <w:div w:id="1906909531">
      <w:bodyDiv w:val="1"/>
      <w:marLeft w:val="0"/>
      <w:marRight w:val="0"/>
      <w:marTop w:val="0"/>
      <w:marBottom w:val="0"/>
      <w:divBdr>
        <w:top w:val="none" w:sz="0" w:space="0" w:color="auto"/>
        <w:left w:val="none" w:sz="0" w:space="0" w:color="auto"/>
        <w:bottom w:val="none" w:sz="0" w:space="0" w:color="auto"/>
        <w:right w:val="none" w:sz="0" w:space="0" w:color="auto"/>
      </w:divBdr>
    </w:div>
    <w:div w:id="1939410618">
      <w:bodyDiv w:val="1"/>
      <w:marLeft w:val="0"/>
      <w:marRight w:val="0"/>
      <w:marTop w:val="0"/>
      <w:marBottom w:val="0"/>
      <w:divBdr>
        <w:top w:val="none" w:sz="0" w:space="0" w:color="auto"/>
        <w:left w:val="none" w:sz="0" w:space="0" w:color="auto"/>
        <w:bottom w:val="none" w:sz="0" w:space="0" w:color="auto"/>
        <w:right w:val="none" w:sz="0" w:space="0" w:color="auto"/>
      </w:divBdr>
    </w:div>
    <w:div w:id="20143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pointcrosslifesciences.com/mysend" TargetMode="External"/><Relationship Id="rId13" Type="http://schemas.openxmlformats.org/officeDocument/2006/relationships/hyperlink" Target="http://lab-ally.com/histopathology-resources/histopathology-glossa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oreni.org/docs/INHAND_nomenclatur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oportal.bioontology.org/ontologies/MA?p=classe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tp.niehs.nih.gov/nnl/index.htm" TargetMode="External"/><Relationship Id="rId5" Type="http://schemas.openxmlformats.org/officeDocument/2006/relationships/image" Target="media/image1.png"/><Relationship Id="rId15" Type="http://schemas.openxmlformats.org/officeDocument/2006/relationships/hyperlink" Target="http://onlinelibrary.wiley.com/doi/10.1002/9780470464151.app2/pdf" TargetMode="External"/><Relationship Id="rId10" Type="http://schemas.openxmlformats.org/officeDocument/2006/relationships/hyperlink" Target="http://www.phusewiki.org/docs/2016_Tokyo_SDE/SEND%20for%20Pathologists%20and%20Toxicologists.pdf" TargetMode="External"/><Relationship Id="rId4" Type="http://schemas.openxmlformats.org/officeDocument/2006/relationships/webSettings" Target="webSettings.xml"/><Relationship Id="rId9" Type="http://schemas.openxmlformats.org/officeDocument/2006/relationships/hyperlink" Target="https://www.fda.gov/forindustry/datastandards/studydatastandards/default.htm" TargetMode="External"/><Relationship Id="rId14" Type="http://schemas.openxmlformats.org/officeDocument/2006/relationships/hyperlink" Target="https://reni.item.fraunhofer.de/reni/rat_nomenclatur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 Prabakar [PC-BLR-SME]</dc:creator>
  <cp:keywords/>
  <dc:description/>
  <cp:lastModifiedBy>Geetha Manjusha [PC-BLR-WD]</cp:lastModifiedBy>
  <cp:revision>2</cp:revision>
  <dcterms:created xsi:type="dcterms:W3CDTF">2019-02-07T07:03:00Z</dcterms:created>
  <dcterms:modified xsi:type="dcterms:W3CDTF">2019-02-07T07:03:00Z</dcterms:modified>
</cp:coreProperties>
</file>